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5"/>
        <w:gridCol w:w="7856"/>
      </w:tblGrid>
      <w:tr w:rsidR="00DE3EF7" w:rsidRPr="00354BBC" w14:paraId="0EB68224" w14:textId="77777777" w:rsidTr="7D3989FA">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0"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1"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7D3989FA">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3BC3727C" w14:textId="6ED0FE09" w:rsidR="006A6874" w:rsidRPr="00354BBC" w:rsidRDefault="00E75DD4" w:rsidP="7D3989FA">
            <w:pPr>
              <w:spacing w:after="0" w:line="240" w:lineRule="auto"/>
              <w:rPr>
                <w:rFonts w:ascii="Arial" w:eastAsia="Arial" w:hAnsi="Arial" w:cs="Arial"/>
                <w:color w:val="000000"/>
                <w:sz w:val="24"/>
                <w:szCs w:val="24"/>
                <w:lang w:val="en-US"/>
              </w:rPr>
            </w:pPr>
            <w:r w:rsidRPr="00E75DD4">
              <w:rPr>
                <w:rFonts w:ascii="Arial" w:eastAsia="Arial" w:hAnsi="Arial" w:cs="Arial"/>
                <w:color w:val="000000" w:themeColor="text1"/>
                <w:sz w:val="24"/>
                <w:szCs w:val="24"/>
              </w:rPr>
              <w:object w:dxaOrig="9026" w:dyaOrig="1380" w14:anchorId="3E7A2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9pt" o:ole="">
                  <v:imagedata r:id="rId12" o:title=""/>
                </v:shape>
                <o:OLEObject Type="Embed" ProgID="Word.Document.12" ShapeID="_x0000_i1025" DrawAspect="Content" ObjectID="_1808673090" r:id="rId13">
                  <o:FieldCodes>\s</o:FieldCodes>
                </o:OLEObject>
              </w:object>
            </w:r>
          </w:p>
        </w:tc>
      </w:tr>
      <w:tr w:rsidR="00CB1B71" w:rsidRPr="00354BBC" w14:paraId="620ADB74" w14:textId="77777777" w:rsidTr="7D3989FA">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CA23A53" w14:textId="77777777" w:rsidR="003D717E" w:rsidRPr="00407C64" w:rsidRDefault="003D717E" w:rsidP="003D717E">
            <w:pPr>
              <w:spacing w:after="0" w:line="360" w:lineRule="auto"/>
              <w:rPr>
                <w:rFonts w:ascii="Arial" w:hAnsi="Arial" w:cs="Arial"/>
                <w:sz w:val="24"/>
                <w:szCs w:val="24"/>
                <w:lang w:eastAsia="en-GB"/>
              </w:rPr>
            </w:pPr>
            <w:r w:rsidRPr="00407C64">
              <w:rPr>
                <w:rFonts w:ascii="Arial" w:hAnsi="Arial" w:cs="Arial"/>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4"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7D3989FA">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5"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7D3989FA">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7D3989FA">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7D3989FA">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some or all of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6"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7D3989FA">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7D3989FA">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7"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7D3989FA">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8"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7D3989FA">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use of information you do not need to do anything. If you do choose to opt out </w:t>
            </w:r>
            <w:r w:rsidRPr="00C13457">
              <w:rPr>
                <w:rFonts w:ascii="Arial" w:hAnsi="Arial" w:cs="Arial"/>
                <w:color w:val="000000"/>
                <w:sz w:val="24"/>
                <w:szCs w:val="24"/>
                <w:lang w:eastAsia="en-GB"/>
              </w:rPr>
              <w:lastRenderedPageBreak/>
              <w:t>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19"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Be able to access the system to view, set or change your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your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20"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1"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lastRenderedPageBreak/>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 individual to whom the information relates has consented;</w:t>
      </w:r>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5F8E" w14:textId="77777777" w:rsidR="0082627E" w:rsidRDefault="0082627E" w:rsidP="00F07C61">
      <w:pPr>
        <w:spacing w:after="0" w:line="240" w:lineRule="auto"/>
      </w:pPr>
      <w:r>
        <w:separator/>
      </w:r>
    </w:p>
  </w:endnote>
  <w:endnote w:type="continuationSeparator" w:id="0">
    <w:p w14:paraId="5154FA8D" w14:textId="77777777" w:rsidR="0082627E" w:rsidRDefault="0082627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5B5F" w14:textId="77777777" w:rsidR="0082627E" w:rsidRDefault="0082627E" w:rsidP="00F07C61">
      <w:pPr>
        <w:spacing w:after="0" w:line="240" w:lineRule="auto"/>
      </w:pPr>
      <w:r>
        <w:separator/>
      </w:r>
    </w:p>
  </w:footnote>
  <w:footnote w:type="continuationSeparator" w:id="0">
    <w:p w14:paraId="413B70AE" w14:textId="77777777" w:rsidR="0082627E" w:rsidRDefault="0082627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B6B5D"/>
    <w:rsid w:val="000C71E2"/>
    <w:rsid w:val="000D36B0"/>
    <w:rsid w:val="000E08E7"/>
    <w:rsid w:val="00154935"/>
    <w:rsid w:val="001D2CE7"/>
    <w:rsid w:val="001F5328"/>
    <w:rsid w:val="00255F4D"/>
    <w:rsid w:val="00263E7A"/>
    <w:rsid w:val="00283181"/>
    <w:rsid w:val="00286CCD"/>
    <w:rsid w:val="002C49C1"/>
    <w:rsid w:val="002C7B02"/>
    <w:rsid w:val="002D1BDC"/>
    <w:rsid w:val="00306D4C"/>
    <w:rsid w:val="00354BBC"/>
    <w:rsid w:val="00355273"/>
    <w:rsid w:val="00370AF4"/>
    <w:rsid w:val="003902E4"/>
    <w:rsid w:val="003A56DC"/>
    <w:rsid w:val="003D717E"/>
    <w:rsid w:val="003E49FC"/>
    <w:rsid w:val="003E4C39"/>
    <w:rsid w:val="003F5FED"/>
    <w:rsid w:val="004074B7"/>
    <w:rsid w:val="00407C64"/>
    <w:rsid w:val="00426EA7"/>
    <w:rsid w:val="00437F34"/>
    <w:rsid w:val="00447F90"/>
    <w:rsid w:val="00450A17"/>
    <w:rsid w:val="00494F4B"/>
    <w:rsid w:val="004B2B60"/>
    <w:rsid w:val="004F719F"/>
    <w:rsid w:val="004F7C91"/>
    <w:rsid w:val="00503B7A"/>
    <w:rsid w:val="0051029E"/>
    <w:rsid w:val="00523EAE"/>
    <w:rsid w:val="00524B0F"/>
    <w:rsid w:val="00533782"/>
    <w:rsid w:val="00536A56"/>
    <w:rsid w:val="00542616"/>
    <w:rsid w:val="005820B0"/>
    <w:rsid w:val="005D0EB2"/>
    <w:rsid w:val="005D4532"/>
    <w:rsid w:val="006A6874"/>
    <w:rsid w:val="006B7DB3"/>
    <w:rsid w:val="006E0141"/>
    <w:rsid w:val="006F7772"/>
    <w:rsid w:val="00703FCC"/>
    <w:rsid w:val="00734434"/>
    <w:rsid w:val="0075311F"/>
    <w:rsid w:val="00762408"/>
    <w:rsid w:val="00781E30"/>
    <w:rsid w:val="007C1167"/>
    <w:rsid w:val="007D3121"/>
    <w:rsid w:val="007E6854"/>
    <w:rsid w:val="00812359"/>
    <w:rsid w:val="0082627E"/>
    <w:rsid w:val="008546D0"/>
    <w:rsid w:val="00920E65"/>
    <w:rsid w:val="00932B40"/>
    <w:rsid w:val="0095127A"/>
    <w:rsid w:val="00951B4D"/>
    <w:rsid w:val="00971718"/>
    <w:rsid w:val="009E2CFC"/>
    <w:rsid w:val="009F6E5A"/>
    <w:rsid w:val="00A46B8C"/>
    <w:rsid w:val="00A554DD"/>
    <w:rsid w:val="00AB0E4F"/>
    <w:rsid w:val="00AE487C"/>
    <w:rsid w:val="00AF4B7A"/>
    <w:rsid w:val="00B011F2"/>
    <w:rsid w:val="00B43F8C"/>
    <w:rsid w:val="00B55E0E"/>
    <w:rsid w:val="00B7041D"/>
    <w:rsid w:val="00B906FB"/>
    <w:rsid w:val="00BD15C8"/>
    <w:rsid w:val="00C801AB"/>
    <w:rsid w:val="00CA07AE"/>
    <w:rsid w:val="00CA7472"/>
    <w:rsid w:val="00CB1B71"/>
    <w:rsid w:val="00CB2F51"/>
    <w:rsid w:val="00CE1CDF"/>
    <w:rsid w:val="00CF55DF"/>
    <w:rsid w:val="00DB4572"/>
    <w:rsid w:val="00DC1B1B"/>
    <w:rsid w:val="00DE22EF"/>
    <w:rsid w:val="00DE3EF7"/>
    <w:rsid w:val="00E12825"/>
    <w:rsid w:val="00E23FCC"/>
    <w:rsid w:val="00E52953"/>
    <w:rsid w:val="00E64E80"/>
    <w:rsid w:val="00E67FA6"/>
    <w:rsid w:val="00E75DD4"/>
    <w:rsid w:val="00E90F8F"/>
    <w:rsid w:val="00ED36DA"/>
    <w:rsid w:val="00EE1DEF"/>
    <w:rsid w:val="00F07C61"/>
    <w:rsid w:val="00F1745A"/>
    <w:rsid w:val="00F31D37"/>
    <w:rsid w:val="00F50FF0"/>
    <w:rsid w:val="00F60F87"/>
    <w:rsid w:val="00F65555"/>
    <w:rsid w:val="00F743B8"/>
    <w:rsid w:val="00FB0323"/>
    <w:rsid w:val="00FD654E"/>
    <w:rsid w:val="00FF0BEC"/>
    <w:rsid w:val="00FF66ED"/>
    <w:rsid w:val="02F9E8A0"/>
    <w:rsid w:val="7D398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15:docId w15:val="{23FD2C2E-9AE3-4C0F-813A-72FCE327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096286250">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18" Type="http://schemas.openxmlformats.org/officeDocument/2006/relationships/hyperlink" Target="https://ico.org.uk/make-a-complaint/data-protection-complaints/"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understandingpatientdata.org.uk/what-you-need-know" TargetMode="Externa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yperlink" Target="https://transform.england.nhs.uk/information-governance/guidance/records-management-code/"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gov.uk/government/publications/opting-out-of-the-nhs-population-screening-programmes" TargetMode="External"/><Relationship Id="rId20" Type="http://schemas.openxmlformats.org/officeDocument/2006/relationships/hyperlink" Target="https://www.hra.nhs.uk/information-about-pati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national-data-opt-out/compliance-with-the-national-data-opt-ou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topic/population-screening-programmes" TargetMode="External"/><Relationship Id="rId23" Type="http://schemas.openxmlformats.org/officeDocument/2006/relationships/fontTable" Target="fontTable.xml"/><Relationship Id="rId10" Type="http://schemas.openxmlformats.org/officeDocument/2006/relationships/hyperlink" Target="https://www.gov.uk/topic/population-screening-programmes" TargetMode="External"/><Relationship Id="rId19" Type="http://schemas.openxmlformats.org/officeDocument/2006/relationships/hyperlink" Target="http://www.nhs.uk/your-nhs-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pdpo@selondonics.nhs.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FB9BC-F3BD-4F13-9E0D-F41F7EB309EE}"/>
</file>

<file path=customXml/itemProps2.xml><?xml version="1.0" encoding="utf-8"?>
<ds:datastoreItem xmlns:ds="http://schemas.openxmlformats.org/officeDocument/2006/customXml" ds:itemID="{3F91CA48-C57A-44EE-80D9-4C4510173FAC}">
  <ds:schemaRefs>
    <ds:schemaRef ds:uri="http://schemas.microsoft.com/office/2006/metadata/longProperties"/>
  </ds:schemaRefs>
</ds:datastoreItem>
</file>

<file path=customXml/itemProps3.xml><?xml version="1.0" encoding="utf-8"?>
<ds:datastoreItem xmlns:ds="http://schemas.openxmlformats.org/officeDocument/2006/customXml" ds:itemID="{E07423C7-687C-4CD2-A50A-BA702FDE6B69}">
  <ds:schemaRefs>
    <ds:schemaRef ds:uri="http://schemas.microsoft.com/sharepoint/v3/contenttype/forms"/>
  </ds:schemaRefs>
</ds:datastoreItem>
</file>

<file path=customXml/itemProps4.xml><?xml version="1.0" encoding="utf-8"?>
<ds:datastoreItem xmlns:ds="http://schemas.openxmlformats.org/officeDocument/2006/customXml" ds:itemID="{569F5A25-E431-483F-8446-62530689A52B}"/>
</file>

<file path=customXml/itemProps5.xml><?xml version="1.0" encoding="utf-8"?>
<ds:datastoreItem xmlns:ds="http://schemas.openxmlformats.org/officeDocument/2006/customXml" ds:itemID="{A2FE551A-97C4-4C7A-ACA8-07BE4331C5B0}"/>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7398</Characters>
  <Application>Microsoft Office Word</Application>
  <DocSecurity>0</DocSecurity>
  <Lines>61</Lines>
  <Paragraphs>17</Paragraphs>
  <ScaleCrop>false</ScaleCrop>
  <Company>South East London ICS</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Catia Albuquerque (NHS South East London ICB)</cp:lastModifiedBy>
  <cp:revision>2</cp:revision>
  <cp:lastPrinted>2018-01-21T12:30:00Z</cp:lastPrinted>
  <dcterms:created xsi:type="dcterms:W3CDTF">2025-05-13T19:25:00Z</dcterms:created>
  <dcterms:modified xsi:type="dcterms:W3CDTF">2025-05-13T19:25:00Z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