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38E142F" w14:textId="77777777" w:rsidR="004E4771" w:rsidRPr="00DB3C44" w:rsidRDefault="004E4771" w:rsidP="004E4771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London Lane Clinic</w:t>
            </w:r>
          </w:p>
          <w:p w14:paraId="7CA8FEA6" w14:textId="77777777" w:rsidR="004E4771" w:rsidRPr="00DB3C44" w:rsidRDefault="004E4771" w:rsidP="004E4771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Kinnaird House</w:t>
            </w:r>
          </w:p>
          <w:p w14:paraId="7A3E339E" w14:textId="77777777" w:rsidR="004E4771" w:rsidRPr="00DB3C44" w:rsidRDefault="004E4771" w:rsidP="004E4771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37-39 London Lane</w:t>
            </w:r>
          </w:p>
          <w:p w14:paraId="3F4F246B" w14:textId="77777777" w:rsidR="004E4771" w:rsidRPr="00DB3C44" w:rsidRDefault="004E4771" w:rsidP="004E4771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Bromley</w:t>
            </w:r>
          </w:p>
          <w:p w14:paraId="5A34E5A0" w14:textId="77777777" w:rsidR="004E4771" w:rsidRDefault="004E4771" w:rsidP="004E4771">
            <w:pPr>
              <w:spacing w:after="0"/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BR1 4HB</w:t>
            </w:r>
          </w:p>
          <w:p w14:paraId="65F847B5" w14:textId="77777777" w:rsidR="004E4771" w:rsidRPr="00DB3C44" w:rsidRDefault="004E4771" w:rsidP="004E4771">
            <w:pPr>
              <w:spacing w:after="0"/>
              <w:rPr>
                <w:rFonts w:ascii="Arial" w:hAnsi="Arial" w:cs="Arial"/>
              </w:rPr>
            </w:pPr>
          </w:p>
          <w:p w14:paraId="6D58C64E" w14:textId="00E3D049" w:rsidR="006A6874" w:rsidRPr="00F2538D" w:rsidRDefault="004E4771" w:rsidP="004E4771">
            <w:pP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DB3C44">
              <w:rPr>
                <w:rFonts w:ascii="Arial" w:hAnsi="Arial" w:cs="Arial"/>
              </w:rPr>
              <w:t>Tel no: 0208 460 2661</w:t>
            </w:r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091EA72A" w14:textId="37932F73" w:rsidR="004E4771" w:rsidRPr="004E4771" w:rsidRDefault="004E4771" w:rsidP="004E4771">
            <w:pPr>
              <w:rPr>
                <w:rFonts w:ascii="Arial" w:hAnsi="Arial" w:cs="Arial"/>
              </w:rPr>
            </w:pPr>
            <w:r w:rsidRPr="00DB3C44">
              <w:rPr>
                <w:rFonts w:ascii="Arial" w:hAnsi="Arial" w:cs="Arial"/>
              </w:rPr>
              <w:t>Dennis Owusu-Agyekum</w:t>
            </w:r>
          </w:p>
          <w:p w14:paraId="2B571DF3" w14:textId="3EBA38B7" w:rsidR="002C4001" w:rsidRPr="004E4771" w:rsidRDefault="002C4001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E4771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 are;-</w:t>
            </w:r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4B3A" w14:textId="77777777" w:rsidR="00B62B84" w:rsidRDefault="00B62B84" w:rsidP="00F07C61">
      <w:pPr>
        <w:spacing w:after="0" w:line="240" w:lineRule="auto"/>
      </w:pPr>
      <w:r>
        <w:separator/>
      </w:r>
    </w:p>
  </w:endnote>
  <w:endnote w:type="continuationSeparator" w:id="0">
    <w:p w14:paraId="113991CD" w14:textId="77777777" w:rsidR="00B62B84" w:rsidRDefault="00B62B84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2209" w14:textId="77777777" w:rsidR="00B62B84" w:rsidRDefault="00B62B84" w:rsidP="00F07C61">
      <w:pPr>
        <w:spacing w:after="0" w:line="240" w:lineRule="auto"/>
      </w:pPr>
      <w:r>
        <w:separator/>
      </w:r>
    </w:p>
  </w:footnote>
  <w:footnote w:type="continuationSeparator" w:id="0">
    <w:p w14:paraId="0B7CF118" w14:textId="77777777" w:rsidR="00B62B84" w:rsidRDefault="00B62B84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A31F2"/>
    <w:rsid w:val="000B3FA3"/>
    <w:rsid w:val="000B696B"/>
    <w:rsid w:val="000C71E2"/>
    <w:rsid w:val="000C75E1"/>
    <w:rsid w:val="000F430D"/>
    <w:rsid w:val="0010540D"/>
    <w:rsid w:val="00111D2F"/>
    <w:rsid w:val="00184F16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3626BE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24C77"/>
    <w:rsid w:val="00426EA7"/>
    <w:rsid w:val="004C198D"/>
    <w:rsid w:val="004E4771"/>
    <w:rsid w:val="004F7C91"/>
    <w:rsid w:val="00523EAE"/>
    <w:rsid w:val="00524B0F"/>
    <w:rsid w:val="0053165C"/>
    <w:rsid w:val="00532438"/>
    <w:rsid w:val="00533782"/>
    <w:rsid w:val="00536A56"/>
    <w:rsid w:val="00542616"/>
    <w:rsid w:val="00562CB1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F7772"/>
    <w:rsid w:val="00703FCC"/>
    <w:rsid w:val="00716EA2"/>
    <w:rsid w:val="0073512B"/>
    <w:rsid w:val="00762408"/>
    <w:rsid w:val="0079698E"/>
    <w:rsid w:val="007A4683"/>
    <w:rsid w:val="007B7278"/>
    <w:rsid w:val="007D3121"/>
    <w:rsid w:val="007E6854"/>
    <w:rsid w:val="00812359"/>
    <w:rsid w:val="008175EC"/>
    <w:rsid w:val="00835901"/>
    <w:rsid w:val="0095127A"/>
    <w:rsid w:val="00951B4D"/>
    <w:rsid w:val="00971718"/>
    <w:rsid w:val="009940C5"/>
    <w:rsid w:val="009A62C4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55B3"/>
    <w:rsid w:val="00BF37BB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44B0C"/>
    <w:rsid w:val="00DC1B1B"/>
    <w:rsid w:val="00DC43D0"/>
    <w:rsid w:val="00DC6AB5"/>
    <w:rsid w:val="00E068B1"/>
    <w:rsid w:val="00E25DC5"/>
    <w:rsid w:val="00E40A6E"/>
    <w:rsid w:val="00E52609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96BE7E8-52BE-47DC-B211-1C0EBC3CA54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4119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2025-11-05T12:11:00Z</dcterms:created>
  <dcterms:modified xsi:type="dcterms:W3CDTF">2025-11-05T12:12:00Z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