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27F32C70" w14:textId="77777777" w:rsidR="002D48A7" w:rsidRPr="00DB3C44" w:rsidRDefault="002D48A7" w:rsidP="002D48A7">
            <w:pPr>
              <w:spacing w:after="0"/>
              <w:rPr>
                <w:rFonts w:ascii="Arial" w:hAnsi="Arial" w:cs="Arial"/>
              </w:rPr>
            </w:pPr>
            <w:r w:rsidRPr="00DB3C44">
              <w:rPr>
                <w:rFonts w:ascii="Arial" w:hAnsi="Arial" w:cs="Arial"/>
              </w:rPr>
              <w:t>London Lane Clinic</w:t>
            </w:r>
          </w:p>
          <w:p w14:paraId="36FC9469" w14:textId="77777777" w:rsidR="002D48A7" w:rsidRPr="00DB3C44" w:rsidRDefault="002D48A7" w:rsidP="002D48A7">
            <w:pPr>
              <w:spacing w:after="0"/>
              <w:rPr>
                <w:rFonts w:ascii="Arial" w:hAnsi="Arial" w:cs="Arial"/>
              </w:rPr>
            </w:pPr>
            <w:r w:rsidRPr="00DB3C44">
              <w:rPr>
                <w:rFonts w:ascii="Arial" w:hAnsi="Arial" w:cs="Arial"/>
              </w:rPr>
              <w:t>Kinnaird House</w:t>
            </w:r>
          </w:p>
          <w:p w14:paraId="12D6642D" w14:textId="77777777" w:rsidR="002D48A7" w:rsidRPr="00DB3C44" w:rsidRDefault="002D48A7" w:rsidP="002D48A7">
            <w:pPr>
              <w:spacing w:after="0"/>
              <w:rPr>
                <w:rFonts w:ascii="Arial" w:hAnsi="Arial" w:cs="Arial"/>
              </w:rPr>
            </w:pPr>
            <w:r w:rsidRPr="00DB3C44">
              <w:rPr>
                <w:rFonts w:ascii="Arial" w:hAnsi="Arial" w:cs="Arial"/>
              </w:rPr>
              <w:t>37-39 London Lane</w:t>
            </w:r>
          </w:p>
          <w:p w14:paraId="45CDD8A1" w14:textId="77777777" w:rsidR="002D48A7" w:rsidRPr="00DB3C44" w:rsidRDefault="002D48A7" w:rsidP="002D48A7">
            <w:pPr>
              <w:spacing w:after="0"/>
              <w:rPr>
                <w:rFonts w:ascii="Arial" w:hAnsi="Arial" w:cs="Arial"/>
              </w:rPr>
            </w:pPr>
            <w:r w:rsidRPr="00DB3C44">
              <w:rPr>
                <w:rFonts w:ascii="Arial" w:hAnsi="Arial" w:cs="Arial"/>
              </w:rPr>
              <w:t>Bromley</w:t>
            </w:r>
          </w:p>
          <w:p w14:paraId="0E320B23" w14:textId="77777777" w:rsidR="006A6874" w:rsidRDefault="002D48A7" w:rsidP="002D48A7">
            <w:pPr>
              <w:spacing w:after="0" w:line="360" w:lineRule="auto"/>
              <w:rPr>
                <w:rFonts w:ascii="Arial" w:hAnsi="Arial" w:cs="Arial"/>
              </w:rPr>
            </w:pPr>
            <w:r w:rsidRPr="00DB3C44">
              <w:rPr>
                <w:rFonts w:ascii="Arial" w:hAnsi="Arial" w:cs="Arial"/>
              </w:rPr>
              <w:t>BR1 4HB</w:t>
            </w:r>
          </w:p>
          <w:p w14:paraId="04435A7B" w14:textId="77777777" w:rsidR="002D48A7" w:rsidRPr="00DB3C44" w:rsidRDefault="002D48A7" w:rsidP="002D48A7">
            <w:pPr>
              <w:rPr>
                <w:rFonts w:ascii="Arial" w:hAnsi="Arial" w:cs="Arial"/>
              </w:rPr>
            </w:pPr>
            <w:r w:rsidRPr="00DB3C44">
              <w:rPr>
                <w:rFonts w:ascii="Arial" w:hAnsi="Arial" w:cs="Arial"/>
              </w:rPr>
              <w:t>Tel no: 0208 460 2661</w:t>
            </w:r>
          </w:p>
          <w:p w14:paraId="0289F5D3" w14:textId="04FC80DE" w:rsidR="002D48A7" w:rsidRPr="007A43F5" w:rsidRDefault="002D48A7" w:rsidP="002D48A7">
            <w:pPr>
              <w:spacing w:after="0" w:line="360" w:lineRule="auto"/>
              <w:rPr>
                <w:rFonts w:ascii="Arial" w:hAnsi="Arial" w:cs="Arial"/>
                <w:color w:val="000000"/>
                <w:lang w:eastAsia="en-GB"/>
              </w:rPr>
            </w:pPr>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5E8AA127" w14:textId="77777777" w:rsidR="002D48A7" w:rsidRDefault="002D48A7" w:rsidP="002D48A7">
            <w:pPr>
              <w:spacing w:after="0"/>
              <w:rPr>
                <w:rFonts w:ascii="Arial" w:hAnsi="Arial" w:cs="Arial"/>
              </w:rPr>
            </w:pPr>
            <w:r w:rsidRPr="00DB3C44">
              <w:rPr>
                <w:rFonts w:ascii="Arial" w:hAnsi="Arial" w:cs="Arial"/>
              </w:rPr>
              <w:t>Dennis Owusu-Agyekum</w:t>
            </w:r>
          </w:p>
          <w:p w14:paraId="07553767" w14:textId="77777777" w:rsidR="002D48A7" w:rsidRPr="00DB3C44" w:rsidRDefault="002D48A7" w:rsidP="002D48A7">
            <w:pPr>
              <w:spacing w:after="0"/>
              <w:rPr>
                <w:rFonts w:ascii="Arial" w:hAnsi="Arial" w:cs="Arial"/>
              </w:rPr>
            </w:pPr>
            <w:r>
              <w:rPr>
                <w:rFonts w:ascii="Arial" w:hAnsi="Arial" w:cs="Arial"/>
              </w:rPr>
              <w:t>GP Data Protection Officer</w:t>
            </w:r>
          </w:p>
          <w:p w14:paraId="169B0AF5" w14:textId="28CB93E0" w:rsidR="00CB1B71" w:rsidRPr="007A43F5" w:rsidRDefault="006909E8" w:rsidP="006909E8">
            <w:pPr>
              <w:spacing w:after="0" w:line="360" w:lineRule="auto"/>
              <w:rPr>
                <w:rFonts w:ascii="Arial" w:hAnsi="Arial" w:cs="Arial"/>
                <w:color w:val="339966"/>
                <w:lang w:eastAsia="en-GB"/>
              </w:rPr>
            </w:pPr>
            <w:hyperlink r:id="rId12"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3"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D53" w14:textId="77777777" w:rsidR="007A5D40" w:rsidRDefault="007A5D40" w:rsidP="00F07C61">
      <w:pPr>
        <w:spacing w:after="0" w:line="240" w:lineRule="auto"/>
      </w:pPr>
      <w:r>
        <w:separator/>
      </w:r>
    </w:p>
  </w:endnote>
  <w:endnote w:type="continuationSeparator" w:id="0">
    <w:p w14:paraId="77C40A51" w14:textId="77777777" w:rsidR="007A5D40" w:rsidRDefault="007A5D4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EB0" w14:textId="77777777" w:rsidR="007A5D40" w:rsidRDefault="007A5D40" w:rsidP="00F07C61">
      <w:pPr>
        <w:spacing w:after="0" w:line="240" w:lineRule="auto"/>
      </w:pPr>
      <w:r>
        <w:separator/>
      </w:r>
    </w:p>
  </w:footnote>
  <w:footnote w:type="continuationSeparator" w:id="0">
    <w:p w14:paraId="088A1D08" w14:textId="77777777" w:rsidR="007A5D40" w:rsidRDefault="007A5D4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184F16"/>
    <w:rsid w:val="00186D1E"/>
    <w:rsid w:val="00244035"/>
    <w:rsid w:val="00255F4D"/>
    <w:rsid w:val="0026238D"/>
    <w:rsid w:val="00286CCD"/>
    <w:rsid w:val="002C7B02"/>
    <w:rsid w:val="002D1BDC"/>
    <w:rsid w:val="002D48A7"/>
    <w:rsid w:val="002E06EC"/>
    <w:rsid w:val="002E2BF9"/>
    <w:rsid w:val="002F01E4"/>
    <w:rsid w:val="00300C5E"/>
    <w:rsid w:val="003902E4"/>
    <w:rsid w:val="003E4C39"/>
    <w:rsid w:val="003F5FED"/>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62CF7"/>
    <w:rsid w:val="00894314"/>
    <w:rsid w:val="008D28EA"/>
    <w:rsid w:val="008F0E6E"/>
    <w:rsid w:val="009446BE"/>
    <w:rsid w:val="0095127A"/>
    <w:rsid w:val="00951B4D"/>
    <w:rsid w:val="00971718"/>
    <w:rsid w:val="009A5B30"/>
    <w:rsid w:val="009D48AF"/>
    <w:rsid w:val="009F4E45"/>
    <w:rsid w:val="00A074CF"/>
    <w:rsid w:val="00A7518E"/>
    <w:rsid w:val="00AE487C"/>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2.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4.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5.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4935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2025-11-05T12:37:00Z</dcterms:created>
  <dcterms:modified xsi:type="dcterms:W3CDTF">2025-11-05T12:38:00Z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