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E825" w14:textId="620B1895" w:rsidR="00FF757B" w:rsidRDefault="00FF757B" w:rsidP="00FF757B">
      <w:pPr>
        <w:pStyle w:val="Body1"/>
        <w:rPr>
          <w:rFonts w:ascii="Arial" w:eastAsia="Helvetica" w:hAnsi="Arial" w:cs="Arial"/>
          <w:b/>
          <w:sz w:val="28"/>
          <w:szCs w:val="24"/>
        </w:rPr>
      </w:pPr>
      <w:r>
        <w:rPr>
          <w:rFonts w:ascii="Arial" w:eastAsia="Helvetica" w:hAnsi="Arial" w:cs="Arial"/>
          <w:b/>
          <w:noProof/>
          <w:sz w:val="28"/>
          <w:szCs w:val="24"/>
        </w:rPr>
        <w:drawing>
          <wp:anchor distT="0" distB="0" distL="114300" distR="114300" simplePos="0" relativeHeight="251659264" behindDoc="0" locked="0" layoutInCell="1" allowOverlap="1" wp14:anchorId="67D1980A" wp14:editId="65787A59">
            <wp:simplePos x="0" y="0"/>
            <wp:positionH relativeFrom="column">
              <wp:posOffset>4666615</wp:posOffset>
            </wp:positionH>
            <wp:positionV relativeFrom="paragraph">
              <wp:posOffset>9525</wp:posOffset>
            </wp:positionV>
            <wp:extent cx="1952625" cy="781050"/>
            <wp:effectExtent l="0" t="0" r="9525" b="0"/>
            <wp:wrapThrough wrapText="bothSides">
              <wp:wrapPolygon edited="0">
                <wp:start x="2529" y="527"/>
                <wp:lineTo x="0" y="4741"/>
                <wp:lineTo x="0" y="14751"/>
                <wp:lineTo x="1475" y="18439"/>
                <wp:lineTo x="2529" y="20546"/>
                <wp:lineTo x="4636" y="20546"/>
                <wp:lineTo x="21495" y="17912"/>
                <wp:lineTo x="21495" y="5268"/>
                <wp:lineTo x="4847" y="527"/>
                <wp:lineTo x="2529" y="527"/>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625" cy="781050"/>
                    </a:xfrm>
                    <a:prstGeom prst="rect">
                      <a:avLst/>
                    </a:prstGeom>
                  </pic:spPr>
                </pic:pic>
              </a:graphicData>
            </a:graphic>
            <wp14:sizeRelH relativeFrom="page">
              <wp14:pctWidth>0</wp14:pctWidth>
            </wp14:sizeRelH>
            <wp14:sizeRelV relativeFrom="page">
              <wp14:pctHeight>0</wp14:pctHeight>
            </wp14:sizeRelV>
          </wp:anchor>
        </w:drawing>
      </w:r>
    </w:p>
    <w:p w14:paraId="26369515" w14:textId="55850D77" w:rsidR="00FF757B" w:rsidRPr="00FF757B" w:rsidRDefault="00FF757B" w:rsidP="00FF757B">
      <w:pPr>
        <w:pStyle w:val="Body1"/>
        <w:rPr>
          <w:rFonts w:ascii="Calibri" w:eastAsia="Helvetica" w:hAnsi="Calibri" w:cs="Calibri"/>
          <w:b/>
          <w:sz w:val="32"/>
          <w:szCs w:val="32"/>
        </w:rPr>
      </w:pPr>
      <w:r w:rsidRPr="00FF757B">
        <w:rPr>
          <w:rFonts w:ascii="Calibri" w:eastAsia="Helvetica" w:hAnsi="Calibri" w:cs="Calibri"/>
          <w:b/>
          <w:sz w:val="32"/>
          <w:szCs w:val="32"/>
        </w:rPr>
        <w:t>Complaints Policy</w:t>
      </w:r>
    </w:p>
    <w:p w14:paraId="17020C77" w14:textId="77777777" w:rsidR="00FF757B" w:rsidRPr="00FF757B" w:rsidRDefault="00FF757B" w:rsidP="00FF757B">
      <w:pPr>
        <w:pStyle w:val="Body1"/>
        <w:jc w:val="center"/>
        <w:rPr>
          <w:rFonts w:ascii="Calibri" w:hAnsi="Calibri" w:cs="Calibri"/>
          <w:b/>
          <w:sz w:val="24"/>
          <w:szCs w:val="24"/>
        </w:rPr>
      </w:pPr>
    </w:p>
    <w:p w14:paraId="44A4EFCC" w14:textId="77777777" w:rsidR="00FF757B" w:rsidRPr="00FF757B" w:rsidRDefault="00FF757B" w:rsidP="00FF757B">
      <w:pPr>
        <w:pStyle w:val="Body1"/>
        <w:rPr>
          <w:rFonts w:ascii="Calibri" w:hAnsi="Calibri" w:cs="Calibri"/>
          <w:b/>
          <w:sz w:val="24"/>
          <w:szCs w:val="24"/>
        </w:rPr>
      </w:pPr>
      <w:r w:rsidRPr="00FF757B">
        <w:rPr>
          <w:rFonts w:ascii="Calibri" w:eastAsia="Helvetica" w:hAnsi="Calibri" w:cs="Calibri"/>
          <w:b/>
          <w:sz w:val="24"/>
          <w:szCs w:val="24"/>
        </w:rPr>
        <w:t>Our Policy</w:t>
      </w:r>
    </w:p>
    <w:p w14:paraId="0690324A" w14:textId="77777777" w:rsidR="00FF757B" w:rsidRPr="00475C63" w:rsidRDefault="00FF757B" w:rsidP="00FF757B">
      <w:pPr>
        <w:pStyle w:val="Body1"/>
        <w:jc w:val="both"/>
        <w:rPr>
          <w:rFonts w:ascii="Calibri" w:eastAsia="Helvetica" w:hAnsi="Calibri" w:cs="Calibri"/>
          <w:sz w:val="24"/>
          <w:szCs w:val="24"/>
        </w:rPr>
      </w:pPr>
      <w:r w:rsidRPr="00475C63">
        <w:rPr>
          <w:rFonts w:ascii="Calibri" w:eastAsia="Helvetica" w:hAnsi="Calibri" w:cs="Calibri"/>
          <w:sz w:val="24"/>
          <w:szCs w:val="24"/>
        </w:rPr>
        <w:t>At the Calverton Practice our aim is to offer the very best standard of healthcare to all our patients.  Unfortunately, on occasion we realise we may not reach our usual high standards and this document sets out the procedure for patients, relatives, and carers to bring this to our attention.  It also describes the steps we will take to fully investigate your complaint and what you can do if you are not happy with the outcome of any investigation.</w:t>
      </w:r>
    </w:p>
    <w:p w14:paraId="64E5F7CE" w14:textId="77777777" w:rsidR="00FF757B" w:rsidRPr="00475C63" w:rsidRDefault="00FF757B" w:rsidP="00FF757B">
      <w:pPr>
        <w:pStyle w:val="Body1"/>
        <w:jc w:val="both"/>
        <w:rPr>
          <w:rFonts w:ascii="Calibri" w:eastAsia="Helvetica" w:hAnsi="Calibri" w:cs="Calibri"/>
          <w:sz w:val="24"/>
          <w:szCs w:val="24"/>
        </w:rPr>
      </w:pPr>
      <w:r w:rsidRPr="00475C63">
        <w:rPr>
          <w:rFonts w:ascii="Calibri" w:eastAsia="Helvetica" w:hAnsi="Calibri" w:cs="Calibri"/>
          <w:sz w:val="24"/>
          <w:szCs w:val="24"/>
        </w:rPr>
        <w:t xml:space="preserve">Please be assured should you raise a complaint this will not negatively affect the care provided to you or your family.  </w:t>
      </w:r>
    </w:p>
    <w:p w14:paraId="65607925" w14:textId="446E1D3F" w:rsidR="00FF757B" w:rsidRPr="00475C63" w:rsidRDefault="00FF757B" w:rsidP="00FF757B">
      <w:pPr>
        <w:pStyle w:val="Body1"/>
        <w:jc w:val="both"/>
        <w:rPr>
          <w:rFonts w:ascii="Calibri" w:eastAsia="Helvetica" w:hAnsi="Calibri" w:cs="Calibri"/>
          <w:sz w:val="24"/>
          <w:szCs w:val="24"/>
        </w:rPr>
      </w:pPr>
      <w:r w:rsidRPr="00475C63">
        <w:rPr>
          <w:rFonts w:ascii="Calibri" w:eastAsia="Helvetica" w:hAnsi="Calibri" w:cs="Calibri"/>
          <w:sz w:val="24"/>
          <w:szCs w:val="24"/>
        </w:rPr>
        <w:t>All complaints received will be investigated in an unbiased, transparent, timely manner and we will endeavor to learn from mistakes by analysis of the root causes of any real or perceived failure.</w:t>
      </w:r>
    </w:p>
    <w:p w14:paraId="41145C14" w14:textId="4F64D779" w:rsidR="00FF757B" w:rsidRPr="00475C63" w:rsidRDefault="00FF757B" w:rsidP="00FF757B">
      <w:pPr>
        <w:pStyle w:val="Body1"/>
        <w:jc w:val="both"/>
        <w:rPr>
          <w:rFonts w:ascii="Calibri" w:hAnsi="Calibri" w:cs="Calibri"/>
          <w:sz w:val="24"/>
          <w:szCs w:val="24"/>
        </w:rPr>
      </w:pPr>
      <w:r w:rsidRPr="00475C63">
        <w:rPr>
          <w:rFonts w:ascii="Calibri" w:hAnsi="Calibri" w:cs="Calibri"/>
          <w:sz w:val="24"/>
          <w:szCs w:val="24"/>
        </w:rPr>
        <w:t xml:space="preserve">Complaints will be handled in the strictest of confidence in accordance with the NHS England Confidentiality Policy and will be kept separately from patient medical records. Care will be taken that information should only be disclosed to those who have a demonstrable need to have access to it. </w:t>
      </w:r>
    </w:p>
    <w:p w14:paraId="6AAB11C6" w14:textId="77777777" w:rsidR="00FF757B" w:rsidRPr="00FF757B" w:rsidRDefault="00FF757B" w:rsidP="00FF757B">
      <w:pPr>
        <w:pStyle w:val="Body1"/>
        <w:jc w:val="both"/>
        <w:rPr>
          <w:rFonts w:ascii="Calibri" w:hAnsi="Calibri" w:cs="Calibri"/>
          <w:sz w:val="23"/>
          <w:szCs w:val="23"/>
        </w:rPr>
      </w:pPr>
    </w:p>
    <w:p w14:paraId="451D4AB9" w14:textId="77777777" w:rsidR="00FF757B" w:rsidRPr="00FF757B" w:rsidRDefault="00FF757B" w:rsidP="00FF757B">
      <w:pPr>
        <w:pStyle w:val="Body1"/>
        <w:jc w:val="both"/>
        <w:rPr>
          <w:rFonts w:ascii="Calibri" w:hAnsi="Calibri" w:cs="Calibri"/>
          <w:b/>
          <w:sz w:val="24"/>
          <w:szCs w:val="24"/>
        </w:rPr>
      </w:pPr>
      <w:r w:rsidRPr="00FF757B">
        <w:rPr>
          <w:rFonts w:ascii="Calibri" w:eastAsia="Helvetica" w:hAnsi="Calibri" w:cs="Calibri"/>
          <w:b/>
          <w:sz w:val="24"/>
          <w:szCs w:val="24"/>
        </w:rPr>
        <w:t>The NHS Complaints Procedure</w:t>
      </w:r>
    </w:p>
    <w:p w14:paraId="0FC884C9" w14:textId="2902B140" w:rsidR="00FF757B" w:rsidRPr="00FF757B" w:rsidRDefault="00FF757B" w:rsidP="00FF757B">
      <w:pPr>
        <w:pStyle w:val="Body1"/>
        <w:jc w:val="both"/>
        <w:rPr>
          <w:rFonts w:ascii="Calibri" w:eastAsia="Helvetica" w:hAnsi="Calibri" w:cs="Calibri"/>
          <w:sz w:val="24"/>
          <w:szCs w:val="24"/>
        </w:rPr>
      </w:pPr>
      <w:r w:rsidRPr="00FF757B">
        <w:rPr>
          <w:rFonts w:ascii="Calibri" w:eastAsia="Helvetica" w:hAnsi="Calibri" w:cs="Calibri"/>
          <w:sz w:val="24"/>
          <w:szCs w:val="24"/>
        </w:rPr>
        <w:t>The NHS Complaints aims to achieve fast and effective resolution for both patients and the organisation receiving the complaint.  It recognises that dealing with complaints locally is often the most immediate and responsive method of resolution.  We would, therefore, be happy to offer you the opportunity to explain the reasons why you are unhappy with our service and to discuss what steps we can take together to achieve a resolution.  We have an internal complaint handling process in place to ensure that any complaint we receive is dealt with efficiently, sensitively, and fairly.  The NHS would expect to receive a complaint within 12 months of the problem (or your awareness of it) occurring.  However, we can use our discretion if circumstances have prevented you from making your complaint within this timescale.</w:t>
      </w:r>
    </w:p>
    <w:p w14:paraId="07C45860" w14:textId="77777777" w:rsidR="00FF757B" w:rsidRPr="00FF757B" w:rsidRDefault="00FF757B" w:rsidP="00FF757B">
      <w:pPr>
        <w:pStyle w:val="Body1"/>
        <w:jc w:val="both"/>
        <w:rPr>
          <w:rFonts w:ascii="Calibri" w:hAnsi="Calibri" w:cs="Calibri"/>
          <w:sz w:val="24"/>
          <w:szCs w:val="24"/>
        </w:rPr>
      </w:pPr>
    </w:p>
    <w:p w14:paraId="1A9AC3E0" w14:textId="77777777" w:rsidR="00FF757B" w:rsidRPr="00FF757B" w:rsidRDefault="00FF757B" w:rsidP="00FF757B">
      <w:pPr>
        <w:pStyle w:val="Body1"/>
        <w:jc w:val="both"/>
        <w:rPr>
          <w:rFonts w:ascii="Calibri" w:hAnsi="Calibri" w:cs="Calibri"/>
          <w:b/>
          <w:sz w:val="24"/>
          <w:szCs w:val="24"/>
        </w:rPr>
      </w:pPr>
      <w:r w:rsidRPr="00FF757B">
        <w:rPr>
          <w:rFonts w:ascii="Calibri" w:eastAsia="Helvetica" w:hAnsi="Calibri" w:cs="Calibri"/>
          <w:b/>
          <w:sz w:val="24"/>
          <w:szCs w:val="24"/>
        </w:rPr>
        <w:t>How to make a complaint to the Practice</w:t>
      </w:r>
    </w:p>
    <w:p w14:paraId="5E07DF71" w14:textId="2508625E" w:rsidR="00FF757B" w:rsidRDefault="00FF757B" w:rsidP="00F340FF">
      <w:pPr>
        <w:spacing w:line="276" w:lineRule="auto"/>
        <w:jc w:val="both"/>
        <w:rPr>
          <w:rFonts w:ascii="Calibri" w:eastAsia="Helvetica" w:hAnsi="Calibri" w:cs="Calibri"/>
        </w:rPr>
      </w:pPr>
      <w:r w:rsidRPr="00FF757B">
        <w:rPr>
          <w:rFonts w:ascii="Calibri" w:eastAsia="Helvetica" w:hAnsi="Calibri" w:cs="Calibri"/>
        </w:rPr>
        <w:t>Our Practice Manager</w:t>
      </w:r>
      <w:r w:rsidR="00D359E0">
        <w:rPr>
          <w:rFonts w:ascii="Calibri" w:eastAsia="Helvetica" w:hAnsi="Calibri" w:cs="Calibri"/>
        </w:rPr>
        <w:t xml:space="preserve"> </w:t>
      </w:r>
      <w:r w:rsidR="00F86F20">
        <w:rPr>
          <w:rFonts w:ascii="Calibri" w:eastAsia="Helvetica" w:hAnsi="Calibri" w:cs="Calibri"/>
        </w:rPr>
        <w:t>is</w:t>
      </w:r>
      <w:r w:rsidRPr="00FF757B">
        <w:rPr>
          <w:rFonts w:ascii="Calibri" w:eastAsia="Helvetica" w:hAnsi="Calibri" w:cs="Calibri"/>
        </w:rPr>
        <w:t xml:space="preserve"> the named manager for dealing with complaints.  In the first instance you should raise your complaint with them, preferably in writin</w:t>
      </w:r>
      <w:r w:rsidR="00FE28B7">
        <w:rPr>
          <w:rFonts w:ascii="Calibri" w:eastAsia="Helvetica" w:hAnsi="Calibri" w:cs="Calibri"/>
        </w:rPr>
        <w:t xml:space="preserve">g to the practice, or </w:t>
      </w:r>
      <w:r w:rsidR="002A5A28">
        <w:rPr>
          <w:rFonts w:ascii="Calibri" w:eastAsia="Helvetica" w:hAnsi="Calibri" w:cs="Calibri"/>
        </w:rPr>
        <w:t>by completing one of our patient feedback and complaints forms</w:t>
      </w:r>
      <w:r w:rsidR="00FE28B7">
        <w:rPr>
          <w:rFonts w:ascii="Calibri" w:eastAsia="Helvetica" w:hAnsi="Calibri" w:cs="Calibri"/>
        </w:rPr>
        <w:t xml:space="preserve"> or by email to </w:t>
      </w:r>
      <w:hyperlink r:id="rId6" w:history="1">
        <w:r w:rsidR="001E35B1" w:rsidRPr="009763BC">
          <w:rPr>
            <w:rStyle w:val="Hyperlink"/>
            <w:rFonts w:ascii="Calibri" w:eastAsia="Helvetica" w:hAnsi="Calibri" w:cs="Calibri"/>
          </w:rPr>
          <w:t>nnicb-nn.calvertoncomplaints@nhs.net</w:t>
        </w:r>
      </w:hyperlink>
      <w:r w:rsidR="00FE28B7">
        <w:rPr>
          <w:rFonts w:ascii="Calibri" w:eastAsia="Helvetica" w:hAnsi="Calibri" w:cs="Calibri"/>
        </w:rPr>
        <w:t xml:space="preserve"> *.</w:t>
      </w:r>
      <w:r w:rsidRPr="00FF757B">
        <w:rPr>
          <w:rFonts w:ascii="Calibri" w:eastAsia="Helvetica" w:hAnsi="Calibri" w:cs="Calibri"/>
        </w:rPr>
        <w:t xml:space="preserve"> All complaints will be acknowledged no later than three working days after the complaint is received.  This acknowledgement will usually be in writing but may be verbal in some circumstances.</w:t>
      </w:r>
      <w:r w:rsidR="00653EFA">
        <w:rPr>
          <w:rFonts w:ascii="Calibri" w:eastAsia="Helvetica" w:hAnsi="Calibri" w:cs="Calibri"/>
        </w:rPr>
        <w:t xml:space="preserve"> We aim to settle complaints as soon as possible and will attempt to respond within 10 working days. If this cannot be done within 10 working days, you will be notified and given an idea of a response time. </w:t>
      </w:r>
    </w:p>
    <w:p w14:paraId="4FE9BFB1" w14:textId="77777777" w:rsidR="00653EFA" w:rsidRPr="00FF757B" w:rsidRDefault="00653EFA" w:rsidP="00F340FF">
      <w:pPr>
        <w:spacing w:line="276" w:lineRule="auto"/>
        <w:jc w:val="both"/>
        <w:rPr>
          <w:rFonts w:ascii="Calibri" w:eastAsia="Helvetica" w:hAnsi="Calibri" w:cs="Calibri"/>
        </w:rPr>
      </w:pPr>
    </w:p>
    <w:p w14:paraId="4A9BB7D2" w14:textId="77777777" w:rsidR="00FF757B" w:rsidRPr="00FF757B" w:rsidRDefault="00FF757B" w:rsidP="00FF757B">
      <w:pPr>
        <w:rPr>
          <w:rFonts w:ascii="Calibri" w:eastAsia="Helvetica" w:hAnsi="Calibri" w:cs="Calibri"/>
        </w:rPr>
      </w:pPr>
    </w:p>
    <w:p w14:paraId="6F13EDAE" w14:textId="77777777" w:rsidR="00FF757B" w:rsidRPr="00FF757B" w:rsidRDefault="00FF757B" w:rsidP="00FF757B">
      <w:pPr>
        <w:pStyle w:val="Body1"/>
        <w:jc w:val="both"/>
        <w:rPr>
          <w:rFonts w:ascii="Calibri" w:hAnsi="Calibri" w:cs="Calibri"/>
          <w:i/>
          <w:sz w:val="20"/>
        </w:rPr>
      </w:pPr>
      <w:r w:rsidRPr="00FF757B">
        <w:rPr>
          <w:rFonts w:ascii="Calibri" w:eastAsia="Helvetica" w:hAnsi="Calibri" w:cs="Calibri"/>
          <w:i/>
          <w:sz w:val="20"/>
        </w:rPr>
        <w:lastRenderedPageBreak/>
        <w:t>*We realise that complaints can vary in size and complexity ranging from some of our in-house processes such as our appointments system to more complex medical issues.  Often it may be possible to resolve issues verbally over the telephone or face to face and if there is the capacity to do this that would always be our preferred option.  However, with more complex complaints we would ask that these were in a written format so that we carry out a detailed investigation and response.</w:t>
      </w:r>
      <w:r w:rsidRPr="00FF757B">
        <w:rPr>
          <w:rFonts w:ascii="Calibri" w:hAnsi="Calibri" w:cs="Calibri"/>
          <w:i/>
          <w:sz w:val="20"/>
        </w:rPr>
        <w:t xml:space="preserve"> </w:t>
      </w:r>
    </w:p>
    <w:p w14:paraId="77E51D22" w14:textId="77777777" w:rsidR="008536BE" w:rsidRDefault="008536BE" w:rsidP="00FF757B">
      <w:pPr>
        <w:pStyle w:val="Body1"/>
        <w:jc w:val="both"/>
        <w:rPr>
          <w:rFonts w:ascii="Calibri" w:hAnsi="Calibri" w:cs="Calibri"/>
          <w:sz w:val="24"/>
          <w:szCs w:val="24"/>
        </w:rPr>
      </w:pPr>
    </w:p>
    <w:p w14:paraId="6A92212C" w14:textId="33845CB3" w:rsidR="00FF757B" w:rsidRPr="00FF757B" w:rsidRDefault="00FF757B" w:rsidP="00FF757B">
      <w:pPr>
        <w:pStyle w:val="Body1"/>
        <w:jc w:val="both"/>
        <w:rPr>
          <w:rFonts w:ascii="Calibri" w:eastAsia="Helvetica" w:hAnsi="Calibri" w:cs="Calibri"/>
          <w:sz w:val="24"/>
          <w:szCs w:val="24"/>
        </w:rPr>
      </w:pPr>
      <w:r w:rsidRPr="00FF757B">
        <w:rPr>
          <w:rFonts w:ascii="Calibri" w:hAnsi="Calibri" w:cs="Calibri"/>
          <w:sz w:val="24"/>
          <w:szCs w:val="24"/>
        </w:rPr>
        <w:t>When dealing with complaints we aim to adhere to NHS England’s organisation value’s principles and follow the ‘Good Practice Standards for NHS Complaints Handling’ (Sept 2013) outlined by the Patients Association:</w:t>
      </w:r>
    </w:p>
    <w:p w14:paraId="030F83A8" w14:textId="77777777" w:rsidR="00FF757B" w:rsidRPr="00FF757B" w:rsidRDefault="00FF757B" w:rsidP="00FF757B">
      <w:pPr>
        <w:pStyle w:val="Default"/>
        <w:numPr>
          <w:ilvl w:val="0"/>
          <w:numId w:val="1"/>
        </w:numPr>
        <w:spacing w:line="276" w:lineRule="auto"/>
        <w:jc w:val="both"/>
        <w:rPr>
          <w:rFonts w:ascii="Calibri" w:hAnsi="Calibri" w:cs="Calibri"/>
        </w:rPr>
      </w:pPr>
      <w:r w:rsidRPr="00FF757B">
        <w:rPr>
          <w:rFonts w:ascii="Calibri" w:hAnsi="Calibri" w:cs="Calibri"/>
        </w:rPr>
        <w:t xml:space="preserve">Openness and Transparency. </w:t>
      </w:r>
    </w:p>
    <w:p w14:paraId="053A8260" w14:textId="77777777" w:rsidR="00FF757B" w:rsidRPr="00FF757B" w:rsidRDefault="00FF757B" w:rsidP="00FF757B">
      <w:pPr>
        <w:pStyle w:val="Default"/>
        <w:numPr>
          <w:ilvl w:val="0"/>
          <w:numId w:val="1"/>
        </w:numPr>
        <w:spacing w:line="276" w:lineRule="auto"/>
        <w:jc w:val="both"/>
        <w:rPr>
          <w:rFonts w:ascii="Calibri" w:hAnsi="Calibri" w:cs="Calibri"/>
        </w:rPr>
      </w:pPr>
      <w:r w:rsidRPr="00FF757B">
        <w:rPr>
          <w:rFonts w:ascii="Calibri" w:hAnsi="Calibri" w:cs="Calibri"/>
        </w:rPr>
        <w:t xml:space="preserve">Evidence based complainant led investigations and responses. </w:t>
      </w:r>
    </w:p>
    <w:p w14:paraId="30A85526" w14:textId="77777777" w:rsidR="00FF757B" w:rsidRPr="00FF757B" w:rsidRDefault="00FF757B" w:rsidP="00FF757B">
      <w:pPr>
        <w:numPr>
          <w:ilvl w:val="0"/>
          <w:numId w:val="1"/>
        </w:numPr>
        <w:autoSpaceDE w:val="0"/>
        <w:autoSpaceDN w:val="0"/>
        <w:adjustRightInd w:val="0"/>
        <w:spacing w:line="276" w:lineRule="auto"/>
        <w:jc w:val="both"/>
        <w:rPr>
          <w:rFonts w:ascii="Calibri" w:hAnsi="Calibri" w:cs="Calibri"/>
          <w:color w:val="000000"/>
          <w:lang w:val="en-GB" w:eastAsia="en-GB"/>
        </w:rPr>
      </w:pPr>
      <w:r w:rsidRPr="00FF757B">
        <w:rPr>
          <w:rFonts w:ascii="Calibri" w:hAnsi="Calibri" w:cs="Calibri"/>
          <w:color w:val="000000"/>
          <w:lang w:val="en-GB" w:eastAsia="en-GB"/>
        </w:rPr>
        <w:t xml:space="preserve">Logical and rational in our approach. </w:t>
      </w:r>
    </w:p>
    <w:p w14:paraId="44D76D15"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Sympathetically respond to complaints and concerns in appropriate timeframes. </w:t>
      </w:r>
    </w:p>
    <w:p w14:paraId="1780AADE"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Provide opportunities for people to offer feedback on the quality of service provided. </w:t>
      </w:r>
    </w:p>
    <w:p w14:paraId="3E27B58E"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Provide complainants with support and guidance throughout the complaints process. </w:t>
      </w:r>
    </w:p>
    <w:p w14:paraId="146CD730"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Provide a level of detail appropriate to the seriousness of the complaint. </w:t>
      </w:r>
    </w:p>
    <w:p w14:paraId="2E8814AB"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Identify the causes of complaints and to take action to prevent recurrences. </w:t>
      </w:r>
    </w:p>
    <w:p w14:paraId="358DC1DB"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Effective and implemented learning - use ‘lessons learnt’ as a driver for change and improvement. </w:t>
      </w:r>
    </w:p>
    <w:p w14:paraId="1A52D151" w14:textId="63129021"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Ensure that the care of complainants is not adversely affected because of making a complaint. </w:t>
      </w:r>
    </w:p>
    <w:p w14:paraId="7634D355"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Ensure that NHS England meets its legal obligations. </w:t>
      </w:r>
    </w:p>
    <w:p w14:paraId="639C6BF2" w14:textId="77777777" w:rsidR="00FF757B" w:rsidRPr="00FF757B" w:rsidRDefault="00FF757B" w:rsidP="00FF757B">
      <w:pPr>
        <w:pStyle w:val="Default"/>
        <w:numPr>
          <w:ilvl w:val="0"/>
          <w:numId w:val="1"/>
        </w:numPr>
        <w:spacing w:line="276" w:lineRule="auto"/>
        <w:jc w:val="both"/>
        <w:rPr>
          <w:rFonts w:ascii="Calibri" w:hAnsi="Calibri" w:cs="Calibri"/>
        </w:rPr>
      </w:pPr>
      <w:r w:rsidRPr="00FF757B">
        <w:rPr>
          <w:rFonts w:ascii="Calibri" w:hAnsi="Calibri" w:cs="Calibri"/>
        </w:rPr>
        <w:t xml:space="preserve">Act as a key tool in ensuring the good reputation of NHS England. </w:t>
      </w:r>
    </w:p>
    <w:p w14:paraId="0437F3B7" w14:textId="77777777" w:rsidR="00FF757B" w:rsidRPr="00FF757B" w:rsidRDefault="00FF757B" w:rsidP="00FF757B">
      <w:pPr>
        <w:pStyle w:val="Body1"/>
        <w:jc w:val="both"/>
        <w:rPr>
          <w:rFonts w:ascii="Calibri" w:eastAsia="Helvetica" w:hAnsi="Calibri" w:cs="Calibri"/>
          <w:b/>
          <w:sz w:val="24"/>
          <w:szCs w:val="24"/>
        </w:rPr>
      </w:pPr>
    </w:p>
    <w:p w14:paraId="510F10E2" w14:textId="77777777" w:rsidR="00FF757B" w:rsidRPr="00FF757B" w:rsidRDefault="00FF757B" w:rsidP="00FF757B">
      <w:pPr>
        <w:pStyle w:val="Body1"/>
        <w:jc w:val="both"/>
        <w:rPr>
          <w:rFonts w:ascii="Calibri" w:hAnsi="Calibri" w:cs="Calibri"/>
          <w:sz w:val="24"/>
          <w:szCs w:val="24"/>
        </w:rPr>
      </w:pPr>
      <w:r w:rsidRPr="00FF757B">
        <w:rPr>
          <w:rFonts w:ascii="Calibri" w:eastAsia="Helvetica" w:hAnsi="Calibri" w:cs="Calibri"/>
          <w:b/>
          <w:sz w:val="24"/>
          <w:szCs w:val="24"/>
        </w:rPr>
        <w:t>What if I’m not happy to talk to the Practice?</w:t>
      </w:r>
    </w:p>
    <w:p w14:paraId="4A077D4E" w14:textId="0961475B" w:rsidR="00FF757B" w:rsidRPr="00FF757B" w:rsidRDefault="00475C63" w:rsidP="00475C63">
      <w:pPr>
        <w:pStyle w:val="Body1"/>
        <w:jc w:val="both"/>
        <w:rPr>
          <w:rFonts w:ascii="Calibri" w:hAnsi="Calibri" w:cs="Calibri"/>
          <w:b/>
          <w:sz w:val="24"/>
          <w:szCs w:val="24"/>
        </w:rPr>
      </w:pPr>
      <w:r>
        <w:rPr>
          <w:rFonts w:ascii="Calibri" w:eastAsia="Helvetica" w:hAnsi="Calibri" w:cs="Calibri"/>
          <w:sz w:val="24"/>
          <w:szCs w:val="24"/>
        </w:rPr>
        <w:t>From 1 July 2023, i</w:t>
      </w:r>
      <w:r w:rsidR="00FF757B" w:rsidRPr="00FF757B">
        <w:rPr>
          <w:rFonts w:ascii="Calibri" w:eastAsia="Helvetica" w:hAnsi="Calibri" w:cs="Calibri"/>
          <w:sz w:val="24"/>
          <w:szCs w:val="24"/>
        </w:rPr>
        <w:t xml:space="preserve">f you feel that you do not wish to discuss your complaint directly with the Practice or if your complaint is about commissioned or more general NHS services, please contact </w:t>
      </w:r>
      <w:r>
        <w:rPr>
          <w:rFonts w:ascii="Calibri" w:eastAsia="Helvetica" w:hAnsi="Calibri" w:cs="Calibri"/>
          <w:sz w:val="24"/>
          <w:szCs w:val="24"/>
        </w:rPr>
        <w:t xml:space="preserve">Patient Experience Team, NHS </w:t>
      </w:r>
      <w:r w:rsidR="00FF757B" w:rsidRPr="00FF757B">
        <w:rPr>
          <w:rFonts w:ascii="Calibri" w:eastAsia="Helvetica" w:hAnsi="Calibri" w:cs="Calibri"/>
          <w:sz w:val="24"/>
          <w:szCs w:val="24"/>
        </w:rPr>
        <w:t>N</w:t>
      </w:r>
      <w:r>
        <w:rPr>
          <w:rFonts w:ascii="Calibri" w:eastAsia="Helvetica" w:hAnsi="Calibri" w:cs="Calibri"/>
          <w:sz w:val="24"/>
          <w:szCs w:val="24"/>
        </w:rPr>
        <w:t>ottingham and Nottinghamshire ICB</w:t>
      </w:r>
      <w:r w:rsidR="00FF757B" w:rsidRPr="00FF757B">
        <w:rPr>
          <w:rFonts w:ascii="Calibri" w:eastAsia="Helvetica" w:hAnsi="Calibri" w:cs="Calibri"/>
          <w:sz w:val="24"/>
          <w:szCs w:val="24"/>
        </w:rPr>
        <w:t xml:space="preserve">. </w:t>
      </w:r>
    </w:p>
    <w:p w14:paraId="02FB8FFE" w14:textId="77777777"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b/>
          <w:bCs/>
          <w:color w:val="444444"/>
          <w:sz w:val="24"/>
          <w:szCs w:val="24"/>
        </w:rPr>
      </w:pPr>
      <w:r w:rsidRPr="00475C63">
        <w:rPr>
          <w:rFonts w:asciiTheme="minorHAnsi" w:hAnsiTheme="minorHAnsi" w:cstheme="minorHAnsi"/>
          <w:b/>
          <w:bCs/>
          <w:color w:val="444444"/>
          <w:sz w:val="24"/>
          <w:szCs w:val="24"/>
        </w:rPr>
        <w:t>By Post:</w:t>
      </w:r>
    </w:p>
    <w:p w14:paraId="1B30EDAA" w14:textId="443010A6"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Patient Experience Team</w:t>
      </w:r>
    </w:p>
    <w:p w14:paraId="70B43E8F" w14:textId="21AD2476" w:rsidR="00475C63" w:rsidRPr="00475C63" w:rsidRDefault="00D55C88"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Pr>
          <w:rFonts w:asciiTheme="minorHAnsi" w:hAnsiTheme="minorHAnsi" w:cstheme="minorHAnsi"/>
          <w:color w:val="444444"/>
          <w:sz w:val="24"/>
          <w:szCs w:val="24"/>
        </w:rPr>
        <w:t>Nottingham and Nottinghamshire Integrated Care Board</w:t>
      </w:r>
    </w:p>
    <w:p w14:paraId="60425B3B" w14:textId="25D28353" w:rsidR="00475C63" w:rsidRPr="00475C63" w:rsidRDefault="00D55C88"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Pr>
          <w:rFonts w:asciiTheme="minorHAnsi" w:hAnsiTheme="minorHAnsi" w:cstheme="minorHAnsi"/>
          <w:color w:val="444444"/>
          <w:sz w:val="24"/>
          <w:szCs w:val="24"/>
        </w:rPr>
        <w:t>Sir John Robinson House</w:t>
      </w:r>
    </w:p>
    <w:p w14:paraId="24838131" w14:textId="25084A50" w:rsidR="00475C63" w:rsidRPr="00475C63" w:rsidRDefault="00D55C88"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Pr>
          <w:rFonts w:asciiTheme="minorHAnsi" w:hAnsiTheme="minorHAnsi" w:cstheme="minorHAnsi"/>
          <w:color w:val="444444"/>
          <w:sz w:val="24"/>
          <w:szCs w:val="24"/>
        </w:rPr>
        <w:t>Sir John Robinson Way</w:t>
      </w:r>
    </w:p>
    <w:p w14:paraId="7069C4D1" w14:textId="363A7B09"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Arnold</w:t>
      </w:r>
    </w:p>
    <w:p w14:paraId="22BA75E0" w14:textId="6648DD27"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 xml:space="preserve">Nottingham </w:t>
      </w:r>
    </w:p>
    <w:p w14:paraId="58537B10" w14:textId="221E824A"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NG5 6</w:t>
      </w:r>
      <w:r w:rsidR="00D55C88">
        <w:rPr>
          <w:rFonts w:asciiTheme="minorHAnsi" w:hAnsiTheme="minorHAnsi" w:cstheme="minorHAnsi"/>
          <w:color w:val="444444"/>
          <w:sz w:val="24"/>
          <w:szCs w:val="24"/>
        </w:rPr>
        <w:t>DA</w:t>
      </w:r>
    </w:p>
    <w:p w14:paraId="4F23D4A1" w14:textId="318E47F7" w:rsidR="00FF757B" w:rsidRPr="00475C63" w:rsidRDefault="00FF757B" w:rsidP="00475C63">
      <w:pPr>
        <w:pStyle w:val="Body1"/>
        <w:jc w:val="both"/>
        <w:rPr>
          <w:rFonts w:asciiTheme="minorHAnsi" w:hAnsiTheme="minorHAnsi" w:cstheme="minorHAnsi"/>
          <w:b/>
          <w:sz w:val="24"/>
          <w:szCs w:val="24"/>
        </w:rPr>
      </w:pPr>
      <w:r w:rsidRPr="00475C63">
        <w:rPr>
          <w:rFonts w:asciiTheme="minorHAnsi" w:eastAsia="Helvetica" w:hAnsiTheme="minorHAnsi" w:cstheme="minorHAnsi"/>
          <w:b/>
          <w:sz w:val="24"/>
          <w:szCs w:val="24"/>
        </w:rPr>
        <w:t xml:space="preserve">Telephone:  </w:t>
      </w:r>
      <w:r w:rsidR="00475C63" w:rsidRPr="00475C63">
        <w:rPr>
          <w:rFonts w:asciiTheme="minorHAnsi" w:hAnsiTheme="minorHAnsi" w:cstheme="minorHAnsi"/>
          <w:color w:val="444444"/>
          <w:sz w:val="24"/>
          <w:szCs w:val="24"/>
        </w:rPr>
        <w:t>0115 8839570</w:t>
      </w:r>
    </w:p>
    <w:p w14:paraId="2CA10EF6" w14:textId="7A1A4DA0" w:rsidR="00FF757B" w:rsidRPr="00475C63" w:rsidRDefault="00FF757B" w:rsidP="00475C63">
      <w:pPr>
        <w:pStyle w:val="Body1"/>
        <w:jc w:val="both"/>
        <w:rPr>
          <w:rFonts w:asciiTheme="minorHAnsi" w:hAnsiTheme="minorHAnsi" w:cstheme="minorHAnsi"/>
          <w:color w:val="0000FF"/>
          <w:sz w:val="24"/>
          <w:szCs w:val="24"/>
          <w:u w:val="single"/>
        </w:rPr>
      </w:pPr>
      <w:r w:rsidRPr="00475C63">
        <w:rPr>
          <w:rFonts w:asciiTheme="minorHAnsi" w:eastAsia="Helvetica" w:hAnsiTheme="minorHAnsi" w:cstheme="minorHAnsi"/>
          <w:b/>
          <w:bCs/>
          <w:sz w:val="24"/>
          <w:szCs w:val="24"/>
        </w:rPr>
        <w:t>Email:</w:t>
      </w:r>
      <w:r w:rsidRPr="00475C63">
        <w:rPr>
          <w:rFonts w:asciiTheme="minorHAnsi" w:eastAsia="Helvetica" w:hAnsiTheme="minorHAnsi" w:cstheme="minorHAnsi"/>
          <w:sz w:val="24"/>
          <w:szCs w:val="24"/>
        </w:rPr>
        <w:t xml:space="preserve"> </w:t>
      </w:r>
      <w:hyperlink r:id="rId7" w:history="1">
        <w:r w:rsidR="00475C63" w:rsidRPr="00475C63">
          <w:rPr>
            <w:rStyle w:val="Hyperlink"/>
            <w:rFonts w:asciiTheme="minorHAnsi" w:hAnsiTheme="minorHAnsi" w:cstheme="minorHAnsi"/>
            <w:color w:val="007BFF"/>
            <w:sz w:val="24"/>
            <w:szCs w:val="24"/>
            <w:bdr w:val="none" w:sz="0" w:space="0" w:color="auto" w:frame="1"/>
          </w:rPr>
          <w:t>nnicb-nn.patientexperience@nhs.net</w:t>
        </w:r>
      </w:hyperlink>
      <w:r w:rsidR="00475C63" w:rsidRPr="00475C63">
        <w:rPr>
          <w:rFonts w:asciiTheme="minorHAnsi" w:hAnsiTheme="minorHAnsi" w:cstheme="minorHAnsi"/>
          <w:color w:val="444444"/>
          <w:sz w:val="24"/>
          <w:szCs w:val="24"/>
        </w:rPr>
        <w:t> </w:t>
      </w:r>
    </w:p>
    <w:p w14:paraId="12ED756D" w14:textId="77777777" w:rsidR="00475C63" w:rsidRPr="00475C63" w:rsidRDefault="00475C63" w:rsidP="00475C63">
      <w:pPr>
        <w:spacing w:line="276" w:lineRule="auto"/>
        <w:rPr>
          <w:rFonts w:asciiTheme="minorHAnsi" w:hAnsiTheme="minorHAnsi" w:cstheme="minorHAnsi"/>
          <w:lang w:val="en-GB"/>
        </w:rPr>
      </w:pPr>
      <w:r w:rsidRPr="00475C63">
        <w:rPr>
          <w:rFonts w:asciiTheme="minorHAnsi" w:hAnsiTheme="minorHAnsi" w:cstheme="minorHAnsi"/>
        </w:rPr>
        <w:t xml:space="preserve">If you would like further information please follow the link to the ICB website: </w:t>
      </w:r>
      <w:hyperlink r:id="rId8" w:history="1">
        <w:r w:rsidRPr="00475C63">
          <w:rPr>
            <w:rStyle w:val="Hyperlink"/>
            <w:rFonts w:asciiTheme="minorHAnsi" w:hAnsiTheme="minorHAnsi" w:cstheme="minorHAnsi"/>
          </w:rPr>
          <w:t>Patient Experience and Complaints - NHS Nottingham and Nottinghamshire ICB</w:t>
        </w:r>
      </w:hyperlink>
    </w:p>
    <w:p w14:paraId="5906F2ED" w14:textId="77777777" w:rsidR="00FF757B" w:rsidRPr="00FF757B" w:rsidRDefault="00FF757B" w:rsidP="00FF757B">
      <w:pPr>
        <w:pStyle w:val="Body1"/>
        <w:jc w:val="both"/>
        <w:rPr>
          <w:rFonts w:ascii="Calibri" w:hAnsi="Calibri" w:cs="Calibri"/>
          <w:sz w:val="24"/>
          <w:szCs w:val="24"/>
        </w:rPr>
      </w:pPr>
    </w:p>
    <w:p w14:paraId="630D0CE5" w14:textId="1DDBEA7E" w:rsidR="00FF757B" w:rsidRPr="00FF757B" w:rsidRDefault="00FF757B" w:rsidP="00475C63">
      <w:pPr>
        <w:pStyle w:val="Body1"/>
        <w:keepLines/>
        <w:jc w:val="both"/>
        <w:rPr>
          <w:rFonts w:ascii="Calibri" w:hAnsi="Calibri" w:cs="Calibri"/>
          <w:b/>
          <w:sz w:val="24"/>
          <w:szCs w:val="24"/>
        </w:rPr>
      </w:pPr>
      <w:r w:rsidRPr="00FF757B">
        <w:rPr>
          <w:rFonts w:ascii="Calibri" w:eastAsia="Helvetica" w:hAnsi="Calibri" w:cs="Calibri"/>
          <w:b/>
          <w:sz w:val="24"/>
          <w:szCs w:val="24"/>
        </w:rPr>
        <w:t xml:space="preserve">Dissatisfied with the handling of the complaint by NHS </w:t>
      </w:r>
      <w:r w:rsidR="00475C63">
        <w:rPr>
          <w:rFonts w:ascii="Calibri" w:eastAsia="Helvetica" w:hAnsi="Calibri" w:cs="Calibri"/>
          <w:b/>
          <w:sz w:val="24"/>
          <w:szCs w:val="24"/>
        </w:rPr>
        <w:t>Nottingham and Nottinghamshire ICB</w:t>
      </w:r>
      <w:r w:rsidRPr="00FF757B">
        <w:rPr>
          <w:rFonts w:ascii="Calibri" w:eastAsia="Helvetica" w:hAnsi="Calibri" w:cs="Calibri"/>
          <w:b/>
          <w:sz w:val="24"/>
          <w:szCs w:val="24"/>
        </w:rPr>
        <w:t>?</w:t>
      </w:r>
    </w:p>
    <w:p w14:paraId="06B48B28" w14:textId="52F47B1E" w:rsidR="00FF757B" w:rsidRPr="00FF757B" w:rsidRDefault="00FF757B" w:rsidP="00475C63">
      <w:pPr>
        <w:pStyle w:val="Body1"/>
        <w:keepLines/>
        <w:jc w:val="both"/>
        <w:rPr>
          <w:rFonts w:ascii="Calibri" w:eastAsia="Helvetica" w:hAnsi="Calibri" w:cs="Calibri"/>
          <w:sz w:val="24"/>
          <w:szCs w:val="24"/>
        </w:rPr>
      </w:pPr>
      <w:r w:rsidRPr="00FF757B">
        <w:rPr>
          <w:rFonts w:ascii="Calibri" w:eastAsia="Helvetica" w:hAnsi="Calibri" w:cs="Calibri"/>
          <w:sz w:val="24"/>
          <w:szCs w:val="24"/>
        </w:rPr>
        <w:lastRenderedPageBreak/>
        <w:t xml:space="preserve">If you are still not satisfied that your complaint has been appropriately addressed, you may approach the Parliamentary and Health Service Ombudsman.  Details of how to contact the PHSO will be provided by NHS </w:t>
      </w:r>
      <w:r w:rsidR="00475C63">
        <w:rPr>
          <w:rFonts w:ascii="Calibri" w:eastAsia="Helvetica" w:hAnsi="Calibri" w:cs="Calibri"/>
          <w:sz w:val="24"/>
          <w:szCs w:val="24"/>
        </w:rPr>
        <w:t>Nottingham and Nottinghamshire ICB</w:t>
      </w:r>
      <w:r w:rsidRPr="00FF757B">
        <w:rPr>
          <w:rFonts w:ascii="Calibri" w:eastAsia="Helvetica" w:hAnsi="Calibri" w:cs="Calibri"/>
          <w:sz w:val="24"/>
          <w:szCs w:val="24"/>
        </w:rPr>
        <w:t xml:space="preserve"> when issuing their formal response to you.</w:t>
      </w:r>
    </w:p>
    <w:p w14:paraId="574B2877" w14:textId="18BFACC2" w:rsidR="00FF757B" w:rsidRDefault="00FF757B" w:rsidP="00475C63">
      <w:pPr>
        <w:pStyle w:val="Body1"/>
        <w:keepLines/>
        <w:jc w:val="both"/>
        <w:rPr>
          <w:rFonts w:ascii="Calibri" w:eastAsia="Helvetica" w:hAnsi="Calibri" w:cs="Calibri"/>
          <w:b/>
          <w:sz w:val="24"/>
          <w:szCs w:val="24"/>
        </w:rPr>
      </w:pPr>
    </w:p>
    <w:p w14:paraId="0C533ECF" w14:textId="77777777" w:rsidR="00475C63" w:rsidRPr="00FF757B" w:rsidRDefault="00475C63" w:rsidP="00475C63">
      <w:pPr>
        <w:pStyle w:val="Body1"/>
        <w:keepLines/>
        <w:jc w:val="both"/>
        <w:rPr>
          <w:rFonts w:ascii="Calibri" w:eastAsia="Helvetica" w:hAnsi="Calibri" w:cs="Calibri"/>
          <w:b/>
          <w:sz w:val="24"/>
          <w:szCs w:val="24"/>
        </w:rPr>
      </w:pPr>
    </w:p>
    <w:p w14:paraId="795C3A23" w14:textId="709D44BE" w:rsidR="00FF757B" w:rsidRPr="00FF757B" w:rsidRDefault="00475C63" w:rsidP="00475C63">
      <w:pPr>
        <w:pStyle w:val="Body1"/>
        <w:keepLines/>
        <w:jc w:val="both"/>
        <w:rPr>
          <w:rFonts w:ascii="Calibri" w:hAnsi="Calibri" w:cs="Calibri"/>
          <w:b/>
          <w:sz w:val="24"/>
          <w:szCs w:val="24"/>
        </w:rPr>
      </w:pPr>
      <w:r>
        <w:rPr>
          <w:rFonts w:ascii="Calibri" w:eastAsia="Helvetica" w:hAnsi="Calibri" w:cs="Calibri"/>
          <w:b/>
          <w:sz w:val="24"/>
          <w:szCs w:val="24"/>
        </w:rPr>
        <w:t xml:space="preserve"> </w:t>
      </w:r>
      <w:r w:rsidR="00FF757B" w:rsidRPr="00FF757B">
        <w:rPr>
          <w:rFonts w:ascii="Calibri" w:eastAsia="Helvetica" w:hAnsi="Calibri" w:cs="Calibri"/>
          <w:b/>
          <w:sz w:val="24"/>
          <w:szCs w:val="24"/>
        </w:rPr>
        <w:t>Multi Agency Complaints</w:t>
      </w:r>
    </w:p>
    <w:tbl>
      <w:tblPr>
        <w:tblW w:w="10740" w:type="dxa"/>
        <w:tblBorders>
          <w:top w:val="nil"/>
          <w:left w:val="nil"/>
          <w:bottom w:val="nil"/>
          <w:right w:val="nil"/>
        </w:tblBorders>
        <w:tblLayout w:type="fixed"/>
        <w:tblLook w:val="0000" w:firstRow="0" w:lastRow="0" w:firstColumn="0" w:lastColumn="0" w:noHBand="0" w:noVBand="0"/>
      </w:tblPr>
      <w:tblGrid>
        <w:gridCol w:w="10740"/>
      </w:tblGrid>
      <w:tr w:rsidR="00FF757B" w:rsidRPr="00FF757B" w14:paraId="03121724" w14:textId="77777777" w:rsidTr="00FF757B">
        <w:trPr>
          <w:trHeight w:val="664"/>
        </w:trPr>
        <w:tc>
          <w:tcPr>
            <w:tcW w:w="10740" w:type="dxa"/>
          </w:tcPr>
          <w:p w14:paraId="622F59E8" w14:textId="047A7CAC" w:rsidR="00FF757B" w:rsidRPr="00FF757B" w:rsidRDefault="00FF757B" w:rsidP="00475C63">
            <w:pPr>
              <w:pStyle w:val="Default"/>
              <w:spacing w:line="276" w:lineRule="auto"/>
              <w:jc w:val="both"/>
              <w:rPr>
                <w:rFonts w:ascii="Calibri" w:hAnsi="Calibri" w:cs="Calibri"/>
              </w:rPr>
            </w:pPr>
            <w:r w:rsidRPr="00FF757B">
              <w:rPr>
                <w:rFonts w:ascii="Calibri" w:hAnsi="Calibri" w:cs="Calibri"/>
              </w:rPr>
              <w:t xml:space="preserve">If your complaint involves more than one NHS or social care body, please direct your complaint to NHS </w:t>
            </w:r>
            <w:r w:rsidR="00475C63">
              <w:rPr>
                <w:rFonts w:ascii="Calibri" w:hAnsi="Calibri" w:cs="Calibri"/>
              </w:rPr>
              <w:t>Nottingham and Nottinghamshire ICB</w:t>
            </w:r>
            <w:r w:rsidRPr="00FF757B">
              <w:rPr>
                <w:rFonts w:ascii="Calibri" w:hAnsi="Calibri" w:cs="Calibri"/>
              </w:rPr>
              <w:t xml:space="preserve"> who will adhere to the duty to cooperate contained in the legislation. Where complaints involve more than one body, discussions will take place between the bodies concerned about the most appropriate body to take the lead in coordinating the complaint and communicating with the complainant. </w:t>
            </w:r>
          </w:p>
          <w:p w14:paraId="4D990999" w14:textId="77777777" w:rsidR="00FF757B" w:rsidRPr="00FF757B" w:rsidRDefault="00FF757B" w:rsidP="00475C63">
            <w:pPr>
              <w:pStyle w:val="Default"/>
              <w:spacing w:line="276" w:lineRule="auto"/>
              <w:jc w:val="both"/>
              <w:rPr>
                <w:rFonts w:ascii="Calibri" w:hAnsi="Calibri" w:cs="Calibri"/>
              </w:rPr>
            </w:pPr>
          </w:p>
        </w:tc>
      </w:tr>
      <w:tr w:rsidR="00FF757B" w:rsidRPr="00FF757B" w14:paraId="0C15300B" w14:textId="77777777" w:rsidTr="00FF757B">
        <w:trPr>
          <w:trHeight w:val="526"/>
        </w:trPr>
        <w:tc>
          <w:tcPr>
            <w:tcW w:w="10740" w:type="dxa"/>
          </w:tcPr>
          <w:p w14:paraId="680E6A69" w14:textId="08606E1E" w:rsidR="00FF757B" w:rsidRPr="00FF757B" w:rsidRDefault="00FF757B" w:rsidP="00475C63">
            <w:pPr>
              <w:pStyle w:val="Default"/>
              <w:spacing w:line="276" w:lineRule="auto"/>
              <w:jc w:val="both"/>
              <w:rPr>
                <w:rFonts w:ascii="Calibri" w:hAnsi="Calibri" w:cs="Calibri"/>
              </w:rPr>
            </w:pPr>
            <w:r w:rsidRPr="00FF757B">
              <w:rPr>
                <w:rFonts w:ascii="Calibri" w:hAnsi="Calibri" w:cs="Calibri"/>
              </w:rPr>
              <w:t xml:space="preserve">Where NHS </w:t>
            </w:r>
            <w:r w:rsidR="00475C63">
              <w:rPr>
                <w:rFonts w:ascii="Calibri" w:hAnsi="Calibri" w:cs="Calibri"/>
              </w:rPr>
              <w:t>Nottingham and Nottinghamshire ICB</w:t>
            </w:r>
            <w:r w:rsidRPr="00FF757B">
              <w:rPr>
                <w:rFonts w:ascii="Calibri" w:hAnsi="Calibri" w:cs="Calibri"/>
              </w:rPr>
              <w:t xml:space="preserve"> receives a complaint involving several bodies, permission will be sought from the complainant before sharing or forwarding a complaint to another body. Consent will need to be obtained to forward the complaint to any provider. </w:t>
            </w:r>
          </w:p>
        </w:tc>
      </w:tr>
      <w:tr w:rsidR="00FF757B" w:rsidRPr="00FF757B" w14:paraId="7FDAACEE" w14:textId="77777777" w:rsidTr="00FF757B">
        <w:trPr>
          <w:trHeight w:val="112"/>
        </w:trPr>
        <w:tc>
          <w:tcPr>
            <w:tcW w:w="10740" w:type="dxa"/>
          </w:tcPr>
          <w:p w14:paraId="23E0BDB6" w14:textId="77777777" w:rsidR="00FF757B" w:rsidRPr="00FF757B" w:rsidRDefault="00FF757B" w:rsidP="00475C63">
            <w:pPr>
              <w:pStyle w:val="Default"/>
              <w:spacing w:line="276" w:lineRule="auto"/>
              <w:jc w:val="both"/>
              <w:rPr>
                <w:rFonts w:ascii="Calibri" w:hAnsi="Calibri" w:cs="Calibri"/>
                <w:sz w:val="23"/>
                <w:szCs w:val="23"/>
              </w:rPr>
            </w:pPr>
          </w:p>
        </w:tc>
      </w:tr>
    </w:tbl>
    <w:p w14:paraId="0329210C" w14:textId="77777777" w:rsidR="00FF757B" w:rsidRPr="00FF757B" w:rsidRDefault="00FF757B" w:rsidP="00475C63">
      <w:pPr>
        <w:pStyle w:val="Body1"/>
        <w:keepLines/>
        <w:jc w:val="both"/>
        <w:rPr>
          <w:rFonts w:ascii="Calibri" w:eastAsia="Helvetica" w:hAnsi="Calibri" w:cs="Calibri"/>
          <w:b/>
          <w:sz w:val="24"/>
          <w:szCs w:val="24"/>
        </w:rPr>
      </w:pPr>
    </w:p>
    <w:p w14:paraId="5BE58321" w14:textId="342A0D4D" w:rsidR="00FF757B" w:rsidRPr="00FF757B" w:rsidRDefault="00CB53C4" w:rsidP="00475C63">
      <w:pPr>
        <w:pStyle w:val="Body1"/>
        <w:keepLines/>
        <w:jc w:val="both"/>
        <w:rPr>
          <w:rFonts w:ascii="Calibri" w:hAnsi="Calibri" w:cs="Calibri"/>
          <w:b/>
          <w:sz w:val="24"/>
          <w:szCs w:val="24"/>
        </w:rPr>
      </w:pPr>
      <w:r>
        <w:rPr>
          <w:rFonts w:ascii="Calibri" w:eastAsia="Helvetica" w:hAnsi="Calibri" w:cs="Calibri"/>
          <w:b/>
          <w:sz w:val="24"/>
          <w:szCs w:val="24"/>
        </w:rPr>
        <w:t>Summary</w:t>
      </w:r>
    </w:p>
    <w:p w14:paraId="78993FCB" w14:textId="337A41C7" w:rsidR="00FF757B" w:rsidRPr="00FF757B" w:rsidRDefault="00FF757B" w:rsidP="00475C63">
      <w:pPr>
        <w:spacing w:line="276" w:lineRule="auto"/>
        <w:ind w:right="-58"/>
        <w:jc w:val="both"/>
        <w:rPr>
          <w:rFonts w:asciiTheme="minorHAnsi" w:hAnsiTheme="minorHAnsi" w:cstheme="minorHAnsi"/>
          <w:color w:val="000000" w:themeColor="text1"/>
        </w:rPr>
      </w:pPr>
      <w:r w:rsidRPr="00FF757B">
        <w:rPr>
          <w:rFonts w:asciiTheme="minorHAnsi" w:hAnsiTheme="minorHAnsi" w:cstheme="minorHAnsi"/>
          <w:color w:val="000000" w:themeColor="text1"/>
        </w:rPr>
        <w:t xml:space="preserve">The care and treatment delivered by The Calverton Practice </w:t>
      </w:r>
      <w:r w:rsidR="00CB53C4">
        <w:rPr>
          <w:rFonts w:asciiTheme="minorHAnsi" w:hAnsiTheme="minorHAnsi" w:cstheme="minorHAnsi"/>
          <w:color w:val="000000" w:themeColor="text1"/>
        </w:rPr>
        <w:t>is</w:t>
      </w:r>
      <w:r w:rsidRPr="00FF757B">
        <w:rPr>
          <w:rFonts w:asciiTheme="minorHAnsi" w:hAnsiTheme="minorHAnsi" w:cstheme="minorHAnsi"/>
          <w:color w:val="000000" w:themeColor="text1"/>
        </w:rPr>
        <w:t xml:space="preserve"> done so with due diligence and in accordance with current guidelines.  However, it is acknowledged that sometimes things can go wrong.</w:t>
      </w:r>
    </w:p>
    <w:p w14:paraId="2A315A57" w14:textId="77777777" w:rsidR="00FF757B" w:rsidRPr="00FF757B" w:rsidRDefault="00FF757B" w:rsidP="00475C63">
      <w:pPr>
        <w:spacing w:line="276" w:lineRule="auto"/>
        <w:ind w:right="-58"/>
        <w:jc w:val="both"/>
        <w:rPr>
          <w:rFonts w:asciiTheme="minorHAnsi" w:hAnsiTheme="minorHAnsi" w:cstheme="minorHAnsi"/>
          <w:color w:val="000000" w:themeColor="text1"/>
        </w:rPr>
      </w:pPr>
    </w:p>
    <w:p w14:paraId="42637E5E" w14:textId="0B0E3C80" w:rsidR="00FF757B" w:rsidRDefault="00FF757B" w:rsidP="00475C63">
      <w:pPr>
        <w:spacing w:line="276" w:lineRule="auto"/>
        <w:ind w:right="-58"/>
        <w:jc w:val="both"/>
        <w:rPr>
          <w:rFonts w:asciiTheme="minorHAnsi" w:hAnsiTheme="minorHAnsi" w:cstheme="minorHAnsi"/>
          <w:color w:val="000000" w:themeColor="text1"/>
        </w:rPr>
      </w:pPr>
      <w:r w:rsidRPr="00FF757B">
        <w:rPr>
          <w:rFonts w:asciiTheme="minorHAnsi" w:hAnsiTheme="minorHAnsi" w:cstheme="minorHAnsi"/>
          <w:color w:val="000000" w:themeColor="text1"/>
        </w:rPr>
        <w:t>By having an effective complaints process in place, this organisation can investigate and resolve complaints in a timely manner, achieving the desired outcome for service users whilst also identifying lessons learned and ultimately improving service delivery.</w:t>
      </w:r>
    </w:p>
    <w:p w14:paraId="3C33BFBC" w14:textId="284F62D8" w:rsidR="00FF757B" w:rsidRDefault="00FF757B" w:rsidP="00FF757B">
      <w:pPr>
        <w:ind w:right="-58"/>
        <w:rPr>
          <w:rFonts w:asciiTheme="minorHAnsi" w:hAnsiTheme="minorHAnsi" w:cstheme="minorHAnsi"/>
          <w:color w:val="000000" w:themeColor="text1"/>
        </w:rPr>
      </w:pPr>
    </w:p>
    <w:p w14:paraId="088FC041" w14:textId="0DCF318B" w:rsidR="00FF757B" w:rsidRDefault="00FF757B" w:rsidP="00FF757B">
      <w:pPr>
        <w:ind w:right="-58"/>
        <w:rPr>
          <w:rFonts w:asciiTheme="minorHAnsi" w:hAnsiTheme="minorHAnsi" w:cstheme="minorHAnsi"/>
          <w:color w:val="000000" w:themeColor="text1"/>
        </w:rPr>
      </w:pPr>
    </w:p>
    <w:p w14:paraId="60AC5040" w14:textId="4D8F8E47" w:rsidR="00FF757B" w:rsidRDefault="00FF757B" w:rsidP="00FF757B">
      <w:pPr>
        <w:ind w:right="-58"/>
        <w:rPr>
          <w:rFonts w:asciiTheme="minorHAnsi" w:hAnsiTheme="minorHAnsi" w:cstheme="minorHAnsi"/>
          <w:color w:val="000000" w:themeColor="text1"/>
        </w:rPr>
      </w:pPr>
    </w:p>
    <w:p w14:paraId="17520A45" w14:textId="4160AFB0" w:rsidR="00FF757B" w:rsidRDefault="00FF757B" w:rsidP="00FF757B">
      <w:pPr>
        <w:ind w:right="-58"/>
        <w:rPr>
          <w:rFonts w:asciiTheme="minorHAnsi" w:hAnsiTheme="minorHAnsi" w:cstheme="minorHAnsi"/>
          <w:color w:val="000000" w:themeColor="text1"/>
        </w:rPr>
      </w:pPr>
    </w:p>
    <w:p w14:paraId="3540DCBD" w14:textId="1461046C" w:rsidR="00FF757B" w:rsidRDefault="00FF757B" w:rsidP="00FF757B">
      <w:pPr>
        <w:ind w:right="-58"/>
        <w:rPr>
          <w:rFonts w:asciiTheme="minorHAnsi" w:hAnsiTheme="minorHAnsi" w:cstheme="minorHAnsi"/>
          <w:color w:val="000000" w:themeColor="text1"/>
        </w:rPr>
      </w:pPr>
    </w:p>
    <w:p w14:paraId="68F35AD4" w14:textId="318824F3" w:rsidR="00FF757B" w:rsidRDefault="00FF757B" w:rsidP="00FF757B">
      <w:pPr>
        <w:ind w:right="-58"/>
        <w:rPr>
          <w:rFonts w:asciiTheme="minorHAnsi" w:hAnsiTheme="minorHAnsi" w:cstheme="minorHAnsi"/>
          <w:color w:val="000000" w:themeColor="text1"/>
        </w:rPr>
      </w:pPr>
    </w:p>
    <w:p w14:paraId="4EFE3CB1" w14:textId="0A6B37E8" w:rsidR="00FF757B" w:rsidRDefault="00FF757B" w:rsidP="00FF757B">
      <w:pPr>
        <w:ind w:right="-58"/>
        <w:rPr>
          <w:rFonts w:asciiTheme="minorHAnsi" w:hAnsiTheme="minorHAnsi" w:cstheme="minorHAnsi"/>
          <w:color w:val="000000" w:themeColor="text1"/>
        </w:rPr>
      </w:pPr>
    </w:p>
    <w:p w14:paraId="4E4C7E72" w14:textId="679BB9F9" w:rsidR="00FF757B" w:rsidRDefault="00FF757B" w:rsidP="00FF757B">
      <w:pPr>
        <w:ind w:right="-58"/>
        <w:rPr>
          <w:rFonts w:asciiTheme="minorHAnsi" w:hAnsiTheme="minorHAnsi" w:cstheme="minorHAnsi"/>
          <w:color w:val="000000" w:themeColor="text1"/>
        </w:rPr>
      </w:pPr>
    </w:p>
    <w:p w14:paraId="5C3A6823" w14:textId="47B9E905" w:rsidR="00FF757B" w:rsidRDefault="00FF757B" w:rsidP="00FF757B">
      <w:pPr>
        <w:ind w:right="-58"/>
        <w:rPr>
          <w:rFonts w:asciiTheme="minorHAnsi" w:hAnsiTheme="minorHAnsi" w:cstheme="minorHAnsi"/>
          <w:color w:val="000000" w:themeColor="text1"/>
        </w:rPr>
      </w:pPr>
    </w:p>
    <w:p w14:paraId="13D48BBC" w14:textId="5C0178C5" w:rsidR="00FF757B" w:rsidRDefault="00FF757B" w:rsidP="00FF757B">
      <w:pPr>
        <w:ind w:right="-58"/>
        <w:rPr>
          <w:rFonts w:asciiTheme="minorHAnsi" w:hAnsiTheme="minorHAnsi" w:cstheme="minorHAnsi"/>
          <w:color w:val="000000" w:themeColor="text1"/>
        </w:rPr>
      </w:pPr>
    </w:p>
    <w:p w14:paraId="3F8316BA" w14:textId="230BAC66" w:rsidR="00FF757B" w:rsidRDefault="00FF757B" w:rsidP="00FF757B">
      <w:pPr>
        <w:ind w:right="-58"/>
        <w:rPr>
          <w:rFonts w:asciiTheme="minorHAnsi" w:hAnsiTheme="minorHAnsi" w:cstheme="minorHAnsi"/>
          <w:color w:val="000000" w:themeColor="text1"/>
        </w:rPr>
      </w:pPr>
    </w:p>
    <w:p w14:paraId="652F9894" w14:textId="77777777" w:rsidR="00FF757B" w:rsidRPr="00FF757B" w:rsidRDefault="00FF757B" w:rsidP="00FF757B">
      <w:pPr>
        <w:ind w:right="-58"/>
        <w:rPr>
          <w:rFonts w:asciiTheme="minorHAnsi" w:hAnsiTheme="minorHAnsi" w:cstheme="minorHAnsi"/>
          <w:color w:val="000000" w:themeColor="text1"/>
        </w:rPr>
      </w:pPr>
    </w:p>
    <w:p w14:paraId="280DA884" w14:textId="488E1672" w:rsidR="00FF757B" w:rsidRPr="00FF757B" w:rsidRDefault="00FF757B" w:rsidP="00FF757B">
      <w:pPr>
        <w:pStyle w:val="Body1"/>
        <w:keepLines/>
        <w:spacing w:after="0" w:line="240" w:lineRule="auto"/>
        <w:ind w:left="6480" w:firstLine="720"/>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 xml:space="preserve">Reviewed: October 2014 BH </w:t>
      </w:r>
    </w:p>
    <w:p w14:paraId="6FDFAE62" w14:textId="1E2166DA" w:rsidR="00FF757B" w:rsidRPr="00FF757B" w:rsidRDefault="00FF757B" w:rsidP="00FF757B">
      <w:pPr>
        <w:pStyle w:val="Body1"/>
        <w:keepLines/>
        <w:spacing w:after="0" w:line="240" w:lineRule="auto"/>
        <w:ind w:left="6480" w:firstLine="720"/>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December 2015 MW</w:t>
      </w:r>
    </w:p>
    <w:p w14:paraId="7331D192" w14:textId="73E3A78F" w:rsidR="00FF757B" w:rsidRPr="00FF757B" w:rsidRDefault="00FF757B" w:rsidP="00FF757B">
      <w:pPr>
        <w:pStyle w:val="Body1"/>
        <w:keepLines/>
        <w:spacing w:after="0" w:line="240" w:lineRule="auto"/>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December 2016 PM</w:t>
      </w:r>
    </w:p>
    <w:p w14:paraId="5941C480" w14:textId="6F60F126" w:rsidR="00FF757B" w:rsidRPr="00FF757B" w:rsidRDefault="00FF757B" w:rsidP="00FF757B">
      <w:pPr>
        <w:pStyle w:val="Body1"/>
        <w:keepLines/>
        <w:spacing w:after="0" w:line="240" w:lineRule="auto"/>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December 2017 BH</w:t>
      </w:r>
    </w:p>
    <w:p w14:paraId="4B1C4315" w14:textId="60A211EC" w:rsidR="00FF757B" w:rsidRPr="00FF757B" w:rsidRDefault="00FF757B" w:rsidP="00FF757B">
      <w:pPr>
        <w:pStyle w:val="Body1"/>
        <w:keepLines/>
        <w:spacing w:after="0" w:line="240" w:lineRule="auto"/>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September 2018 BH/JP</w:t>
      </w:r>
    </w:p>
    <w:p w14:paraId="142B5927" w14:textId="30E05DFF" w:rsidR="00FF757B" w:rsidRPr="00FF757B" w:rsidRDefault="00FF757B" w:rsidP="00FF757B">
      <w:pPr>
        <w:jc w:val="right"/>
        <w:rPr>
          <w:rFonts w:asciiTheme="minorHAnsi" w:eastAsia="Helvetica" w:hAnsiTheme="minorHAnsi" w:cstheme="minorHAnsi"/>
          <w:sz w:val="16"/>
        </w:rPr>
      </w:pPr>
      <w:r w:rsidRPr="00FF757B">
        <w:rPr>
          <w:rFonts w:asciiTheme="minorHAnsi" w:eastAsia="Helvetica" w:hAnsiTheme="minorHAnsi" w:cstheme="minorHAnsi"/>
          <w:sz w:val="16"/>
        </w:rPr>
        <w:t>Reviewed October 2019 JY</w:t>
      </w:r>
    </w:p>
    <w:p w14:paraId="2B793BC4" w14:textId="766D39E8" w:rsidR="00FF757B" w:rsidRDefault="00FF757B" w:rsidP="00FF757B">
      <w:pPr>
        <w:jc w:val="right"/>
        <w:rPr>
          <w:rFonts w:asciiTheme="minorHAnsi" w:eastAsia="Helvetica" w:hAnsiTheme="minorHAnsi" w:cstheme="minorHAnsi"/>
          <w:sz w:val="16"/>
        </w:rPr>
      </w:pPr>
      <w:r w:rsidRPr="00FF757B">
        <w:rPr>
          <w:rFonts w:asciiTheme="minorHAnsi" w:eastAsia="Helvetica" w:hAnsiTheme="minorHAnsi" w:cstheme="minorHAnsi"/>
          <w:sz w:val="16"/>
        </w:rPr>
        <w:t>Reviewed November 2022 JY</w:t>
      </w:r>
    </w:p>
    <w:p w14:paraId="57535E49" w14:textId="4E571B45" w:rsidR="00475C63" w:rsidRDefault="00475C63" w:rsidP="00FF757B">
      <w:pPr>
        <w:jc w:val="right"/>
        <w:rPr>
          <w:rFonts w:asciiTheme="minorHAnsi" w:eastAsia="Helvetica" w:hAnsiTheme="minorHAnsi" w:cstheme="minorHAnsi"/>
          <w:sz w:val="16"/>
        </w:rPr>
      </w:pPr>
      <w:r>
        <w:rPr>
          <w:rFonts w:asciiTheme="minorHAnsi" w:eastAsia="Helvetica" w:hAnsiTheme="minorHAnsi" w:cstheme="minorHAnsi"/>
          <w:sz w:val="16"/>
        </w:rPr>
        <w:t>Reviewed: July 2023 JY</w:t>
      </w:r>
    </w:p>
    <w:p w14:paraId="36CC8A0F" w14:textId="7E129BA8" w:rsidR="00F86F20" w:rsidRDefault="00F86F20" w:rsidP="00FF757B">
      <w:pPr>
        <w:jc w:val="right"/>
        <w:rPr>
          <w:rFonts w:asciiTheme="minorHAnsi" w:eastAsia="Helvetica" w:hAnsiTheme="minorHAnsi" w:cstheme="minorHAnsi"/>
          <w:sz w:val="16"/>
        </w:rPr>
      </w:pPr>
      <w:r>
        <w:rPr>
          <w:rFonts w:asciiTheme="minorHAnsi" w:eastAsia="Helvetica" w:hAnsiTheme="minorHAnsi" w:cstheme="minorHAnsi"/>
          <w:sz w:val="16"/>
        </w:rPr>
        <w:t>Reviewed: January 2024 JY</w:t>
      </w:r>
    </w:p>
    <w:p w14:paraId="793C5BF3" w14:textId="398912BC" w:rsidR="00FE28B7" w:rsidRDefault="00FE28B7" w:rsidP="00FF757B">
      <w:pPr>
        <w:jc w:val="right"/>
        <w:rPr>
          <w:rFonts w:asciiTheme="minorHAnsi" w:eastAsia="Helvetica" w:hAnsiTheme="minorHAnsi" w:cstheme="minorHAnsi"/>
          <w:sz w:val="16"/>
        </w:rPr>
      </w:pPr>
      <w:r>
        <w:rPr>
          <w:rFonts w:asciiTheme="minorHAnsi" w:eastAsia="Helvetica" w:hAnsiTheme="minorHAnsi" w:cstheme="minorHAnsi"/>
          <w:sz w:val="16"/>
        </w:rPr>
        <w:t>Reviewed: June 2024 JY</w:t>
      </w:r>
    </w:p>
    <w:p w14:paraId="36C89983" w14:textId="61E990A7" w:rsidR="001E35B1" w:rsidRDefault="001E35B1" w:rsidP="00FF757B">
      <w:pPr>
        <w:jc w:val="right"/>
        <w:rPr>
          <w:rFonts w:asciiTheme="minorHAnsi" w:eastAsia="Helvetica" w:hAnsiTheme="minorHAnsi" w:cstheme="minorHAnsi"/>
          <w:sz w:val="16"/>
        </w:rPr>
      </w:pPr>
      <w:r>
        <w:rPr>
          <w:rFonts w:asciiTheme="minorHAnsi" w:eastAsia="Helvetica" w:hAnsiTheme="minorHAnsi" w:cstheme="minorHAnsi"/>
          <w:sz w:val="16"/>
        </w:rPr>
        <w:t>Reviewed January 2025 RW</w:t>
      </w:r>
    </w:p>
    <w:p w14:paraId="2485B298" w14:textId="46EF4D62" w:rsidR="00653EFA" w:rsidRDefault="00653EFA" w:rsidP="00FF757B">
      <w:pPr>
        <w:jc w:val="right"/>
        <w:rPr>
          <w:rFonts w:asciiTheme="minorHAnsi" w:hAnsiTheme="minorHAnsi" w:cstheme="minorHAnsi"/>
        </w:rPr>
      </w:pPr>
      <w:r>
        <w:rPr>
          <w:rFonts w:asciiTheme="minorHAnsi" w:eastAsia="Helvetica" w:hAnsiTheme="minorHAnsi" w:cstheme="minorHAnsi"/>
          <w:sz w:val="16"/>
        </w:rPr>
        <w:t>Reviewed February 2025 JY</w:t>
      </w:r>
    </w:p>
    <w:p w14:paraId="1A55A727" w14:textId="72B98F31" w:rsidR="00F86F20" w:rsidRPr="00FF757B" w:rsidRDefault="001E35B1" w:rsidP="001E35B1">
      <w:pPr>
        <w:tabs>
          <w:tab w:val="left" w:pos="9090"/>
        </w:tabs>
        <w:jc w:val="right"/>
        <w:rPr>
          <w:rFonts w:asciiTheme="minorHAnsi" w:hAnsiTheme="minorHAnsi" w:cstheme="minorHAnsi"/>
        </w:rPr>
      </w:pPr>
      <w:r>
        <w:rPr>
          <w:rFonts w:asciiTheme="minorHAnsi" w:hAnsiTheme="minorHAnsi" w:cstheme="minorHAnsi"/>
        </w:rPr>
        <w:lastRenderedPageBreak/>
        <w:tab/>
      </w:r>
    </w:p>
    <w:sectPr w:rsidR="00F86F20" w:rsidRPr="00FF757B" w:rsidSect="00FF75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E7A43"/>
    <w:multiLevelType w:val="hybridMultilevel"/>
    <w:tmpl w:val="6E0A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16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7B"/>
    <w:rsid w:val="00007D35"/>
    <w:rsid w:val="001E35B1"/>
    <w:rsid w:val="002A5A28"/>
    <w:rsid w:val="00475C63"/>
    <w:rsid w:val="00506F6A"/>
    <w:rsid w:val="00653EFA"/>
    <w:rsid w:val="00713B5C"/>
    <w:rsid w:val="008536BE"/>
    <w:rsid w:val="00BC1484"/>
    <w:rsid w:val="00C1456C"/>
    <w:rsid w:val="00CB53C4"/>
    <w:rsid w:val="00D359E0"/>
    <w:rsid w:val="00D55C88"/>
    <w:rsid w:val="00E57C4B"/>
    <w:rsid w:val="00F340FF"/>
    <w:rsid w:val="00F86F20"/>
    <w:rsid w:val="00FE28B7"/>
    <w:rsid w:val="00FF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AE81"/>
  <w15:chartTrackingRefBased/>
  <w15:docId w15:val="{3042B996-E3D1-4015-B7D0-D95B2BD7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FF757B"/>
    <w:pPr>
      <w:outlineLvl w:val="0"/>
    </w:pPr>
    <w:rPr>
      <w:rFonts w:ascii="Helvetica" w:eastAsia="ヒラギノ角ゴ Pro W3" w:hAnsi="Helvetica" w:cs="Times New Roman"/>
      <w:color w:val="000000"/>
      <w:szCs w:val="20"/>
      <w:lang w:val="en-US" w:eastAsia="en-GB"/>
    </w:rPr>
  </w:style>
  <w:style w:type="character" w:styleId="Hyperlink">
    <w:name w:val="Hyperlink"/>
    <w:uiPriority w:val="99"/>
    <w:unhideWhenUsed/>
    <w:rsid w:val="00FF757B"/>
    <w:rPr>
      <w:color w:val="0000FF"/>
      <w:u w:val="single"/>
    </w:rPr>
  </w:style>
  <w:style w:type="paragraph" w:customStyle="1" w:styleId="Default">
    <w:name w:val="Default"/>
    <w:rsid w:val="00FF757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475C63"/>
    <w:pPr>
      <w:spacing w:before="100" w:beforeAutospacing="1" w:after="100" w:afterAutospacing="1"/>
    </w:pPr>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FE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081">
      <w:bodyDiv w:val="1"/>
      <w:marLeft w:val="0"/>
      <w:marRight w:val="0"/>
      <w:marTop w:val="0"/>
      <w:marBottom w:val="0"/>
      <w:divBdr>
        <w:top w:val="none" w:sz="0" w:space="0" w:color="auto"/>
        <w:left w:val="none" w:sz="0" w:space="0" w:color="auto"/>
        <w:bottom w:val="none" w:sz="0" w:space="0" w:color="auto"/>
        <w:right w:val="none" w:sz="0" w:space="0" w:color="auto"/>
      </w:divBdr>
    </w:div>
    <w:div w:id="119801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notts.icb.nhs.uk%2Fcontact-us%2Fpatient-advice-and-complaints%2F&amp;data=05%7C01%7Cjayne.yeomans%40nhs.net%7Cfdc7a263398843cc372108db83b99d7d%7C37c354b285b047f5b22207b48d774ee3%7C0%7C0%7C638248605456036215%7CUnknown%7CTWFpbGZsb3d8eyJWIjoiMC4wLjAwMDAiLCJQIjoiV2luMzIiLCJBTiI6Ik1haWwiLCJXVCI6Mn0%3D%7C3000%7C%7C%7C&amp;sdata=CbmuYw0OLWCyi%2B6AKoYJkji49dB%2BE96Qrrh9A0OP3II%3D&amp;reserved=0" TargetMode="External"/><Relationship Id="rId3" Type="http://schemas.openxmlformats.org/officeDocument/2006/relationships/settings" Target="settings.xml"/><Relationship Id="rId7" Type="http://schemas.openxmlformats.org/officeDocument/2006/relationships/hyperlink" Target="mailto:nnicb-nn.patientexperie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nicb-nn.calvertoncomplaints@nh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YEOMANS, Jayne (THE CALVERTON PRACTICE)</dc:creator>
  <cp:keywords/>
  <dc:description/>
  <cp:lastModifiedBy>Jayne Yeomans - Assistant Practice Manager - C84047</cp:lastModifiedBy>
  <cp:revision>4</cp:revision>
  <cp:lastPrinted>2024-01-22T12:30:00Z</cp:lastPrinted>
  <dcterms:created xsi:type="dcterms:W3CDTF">2024-06-25T08:18:00Z</dcterms:created>
  <dcterms:modified xsi:type="dcterms:W3CDTF">2025-02-18T12:54:00Z</dcterms:modified>
</cp:coreProperties>
</file>